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3C" w:rsidRPr="006233D3" w:rsidRDefault="00D5283C" w:rsidP="00D5283C">
      <w:pPr>
        <w:pBdr>
          <w:bottom w:val="single" w:sz="12" w:space="1" w:color="auto"/>
        </w:pBdr>
        <w:spacing w:after="240" w:line="240" w:lineRule="auto"/>
        <w:rPr>
          <w:rFonts w:ascii="Times New Roman" w:hAnsi="Times New Roman" w:cs="Times New Roman"/>
        </w:rPr>
      </w:pPr>
      <w:r w:rsidRPr="006233D3">
        <w:rPr>
          <w:rFonts w:ascii="Times New Roman" w:hAnsi="Times New Roman" w:cs="Times New Roman"/>
        </w:rPr>
        <w:tab/>
      </w:r>
    </w:p>
    <w:p w:rsidR="00D5283C" w:rsidRPr="006233D3" w:rsidRDefault="00D5283C" w:rsidP="00D5283C">
      <w:pPr>
        <w:pBdr>
          <w:bottom w:val="single" w:sz="12" w:space="1" w:color="auto"/>
        </w:pBd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6233D3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MINISTARSTVO REGIONALNOGA RAZVOJA I FONDOVA EUROPSKE UNIJE</w:t>
      </w: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2852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6233D3" w:rsidRDefault="00D5283C" w:rsidP="00D52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3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PRIJEDLOG UREDBE O IZMJENAMA UREDBE </w:t>
      </w:r>
      <w:r w:rsidRPr="006233D3">
        <w:rPr>
          <w:rFonts w:ascii="Times New Roman" w:eastAsia="Calibri" w:hAnsi="Times New Roman" w:cs="Times New Roman"/>
          <w:b/>
          <w:sz w:val="24"/>
          <w:szCs w:val="24"/>
        </w:rPr>
        <w:t>O TIJELIMA U SUSTAVIMA UPRAVLJANJA I KONTROLE KORIŠTENJA EUROPSKOG SOCIJALNOG FONDA, EUROPSKOG FONDA ZA REGIONALNI RAZVOJ I KOHEZIJSKOG FONDA, U VEZI S CILJEM „ULAGANJE ZA RAST I RADNA MJESTA“</w:t>
      </w: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6233D3" w:rsidRDefault="00D5283C" w:rsidP="00D5283C">
      <w:pPr>
        <w:pBdr>
          <w:bottom w:val="single" w:sz="12" w:space="1" w:color="auto"/>
        </w:pBd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D5283C" w:rsidRPr="006233D3" w:rsidRDefault="00D5283C" w:rsidP="00D5283C">
      <w:pPr>
        <w:ind w:left="2832"/>
        <w:jc w:val="both"/>
        <w:rPr>
          <w:rFonts w:ascii="Times New Roman" w:hAnsi="Times New Roman" w:cs="Times New Roman"/>
        </w:rPr>
      </w:pPr>
      <w:r w:rsidRPr="006233D3">
        <w:rPr>
          <w:rFonts w:ascii="Times New Roman" w:eastAsia="Calibri" w:hAnsi="Times New Roman" w:cs="Times New Roman"/>
          <w:b/>
          <w:sz w:val="24"/>
          <w:szCs w:val="24"/>
        </w:rPr>
        <w:t>Zagreb, siječanj 2015</w:t>
      </w:r>
      <w:r w:rsidRPr="006233D3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. </w:t>
      </w:r>
      <w:r w:rsidRPr="006233D3">
        <w:rPr>
          <w:rFonts w:ascii="Times New Roman" w:eastAsia="Calibri" w:hAnsi="Times New Roman" w:cs="Times New Roman"/>
          <w:b/>
          <w:sz w:val="24"/>
          <w:szCs w:val="24"/>
        </w:rPr>
        <w:t>godine</w:t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  <w:t xml:space="preserve">                 </w:t>
      </w:r>
    </w:p>
    <w:p w:rsidR="004038BF" w:rsidRPr="006233D3" w:rsidRDefault="00AA6278" w:rsidP="00AA6278">
      <w:pPr>
        <w:jc w:val="both"/>
        <w:rPr>
          <w:rFonts w:ascii="Times New Roman" w:hAnsi="Times New Roman" w:cs="Times New Roman"/>
          <w:sz w:val="24"/>
          <w:szCs w:val="24"/>
        </w:rPr>
      </w:pPr>
      <w:r w:rsidRPr="006233D3">
        <w:rPr>
          <w:rFonts w:ascii="Times New Roman" w:hAnsi="Times New Roman" w:cs="Times New Roman"/>
          <w:sz w:val="24"/>
          <w:szCs w:val="24"/>
        </w:rPr>
        <w:t xml:space="preserve"> </w:t>
      </w:r>
      <w:r w:rsidR="00D5283C" w:rsidRPr="006233D3">
        <w:rPr>
          <w:rFonts w:ascii="Times New Roman" w:hAnsi="Times New Roman" w:cs="Times New Roman"/>
          <w:sz w:val="24"/>
          <w:szCs w:val="24"/>
        </w:rPr>
        <w:tab/>
      </w:r>
      <w:r w:rsidR="00D5283C" w:rsidRPr="006233D3">
        <w:rPr>
          <w:rFonts w:ascii="Times New Roman" w:hAnsi="Times New Roman" w:cs="Times New Roman"/>
          <w:sz w:val="24"/>
          <w:szCs w:val="24"/>
        </w:rPr>
        <w:tab/>
      </w:r>
      <w:r w:rsidR="00D5283C" w:rsidRPr="006233D3">
        <w:rPr>
          <w:rFonts w:ascii="Times New Roman" w:hAnsi="Times New Roman" w:cs="Times New Roman"/>
          <w:sz w:val="24"/>
          <w:szCs w:val="24"/>
        </w:rPr>
        <w:tab/>
      </w:r>
      <w:r w:rsidR="00D5283C" w:rsidRPr="006233D3">
        <w:rPr>
          <w:rFonts w:ascii="Times New Roman" w:hAnsi="Times New Roman" w:cs="Times New Roman"/>
          <w:sz w:val="24"/>
          <w:szCs w:val="24"/>
        </w:rPr>
        <w:tab/>
      </w:r>
      <w:r w:rsidR="00D5283C" w:rsidRPr="006233D3">
        <w:rPr>
          <w:rFonts w:ascii="Times New Roman" w:hAnsi="Times New Roman" w:cs="Times New Roman"/>
          <w:sz w:val="24"/>
          <w:szCs w:val="24"/>
        </w:rPr>
        <w:tab/>
      </w:r>
      <w:r w:rsidR="00D5283C" w:rsidRPr="006233D3">
        <w:rPr>
          <w:rFonts w:ascii="Times New Roman" w:hAnsi="Times New Roman" w:cs="Times New Roman"/>
          <w:sz w:val="24"/>
          <w:szCs w:val="24"/>
        </w:rPr>
        <w:tab/>
      </w:r>
      <w:r w:rsidR="00D5283C" w:rsidRPr="006233D3">
        <w:rPr>
          <w:rFonts w:ascii="Times New Roman" w:hAnsi="Times New Roman" w:cs="Times New Roman"/>
          <w:sz w:val="24"/>
          <w:szCs w:val="24"/>
        </w:rPr>
        <w:tab/>
      </w:r>
      <w:r w:rsidR="00D5283C" w:rsidRPr="006233D3">
        <w:rPr>
          <w:rFonts w:ascii="Times New Roman" w:hAnsi="Times New Roman" w:cs="Times New Roman"/>
          <w:sz w:val="24"/>
          <w:szCs w:val="24"/>
        </w:rPr>
        <w:tab/>
      </w:r>
      <w:r w:rsidR="00D5283C" w:rsidRPr="006233D3">
        <w:rPr>
          <w:rFonts w:ascii="Times New Roman" w:hAnsi="Times New Roman" w:cs="Times New Roman"/>
          <w:sz w:val="24"/>
          <w:szCs w:val="24"/>
        </w:rPr>
        <w:tab/>
      </w:r>
      <w:r w:rsidR="00D5283C" w:rsidRPr="006233D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23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278" w:rsidRPr="006233D3" w:rsidRDefault="00AA6278" w:rsidP="004038BF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D3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243932" w:rsidRPr="006233D3" w:rsidRDefault="00243932" w:rsidP="00243932">
      <w:pPr>
        <w:autoSpaceDE w:val="0"/>
        <w:autoSpaceDN w:val="0"/>
        <w:adjustRightInd w:val="0"/>
        <w:ind w:left="567" w:hanging="567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43932" w:rsidRPr="006233D3" w:rsidRDefault="00243932" w:rsidP="00243932">
      <w:pPr>
        <w:autoSpaceDE w:val="0"/>
        <w:autoSpaceDN w:val="0"/>
        <w:adjustRightInd w:val="0"/>
        <w:ind w:left="567" w:hanging="567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233D3">
        <w:rPr>
          <w:rFonts w:ascii="Times New Roman" w:eastAsia="Calibri" w:hAnsi="Times New Roman" w:cs="Times New Roman"/>
          <w:b/>
          <w:bCs/>
          <w:sz w:val="32"/>
          <w:szCs w:val="32"/>
        </w:rPr>
        <w:t>VLADA REPUBLIKE HRVATSKE</w:t>
      </w:r>
    </w:p>
    <w:p w:rsidR="00AA6278" w:rsidRPr="006233D3" w:rsidRDefault="00AA6278" w:rsidP="00AA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76C" w:rsidRPr="006233D3" w:rsidRDefault="00AA6278" w:rsidP="00AA6278">
      <w:pPr>
        <w:jc w:val="both"/>
        <w:rPr>
          <w:rFonts w:ascii="Times New Roman" w:hAnsi="Times New Roman" w:cs="Times New Roman"/>
          <w:sz w:val="24"/>
          <w:szCs w:val="24"/>
        </w:rPr>
      </w:pPr>
      <w:r w:rsidRPr="006233D3">
        <w:rPr>
          <w:rFonts w:ascii="Times New Roman" w:hAnsi="Times New Roman" w:cs="Times New Roman"/>
          <w:sz w:val="24"/>
          <w:szCs w:val="24"/>
        </w:rPr>
        <w:t>Na temelju članka 7. stavka 7. podstavka 1. Zakona o uspostavi institucionalnog okvira za provedbu europskih strukturnih i investicijskih fondova u Republici Hrvatskoj u financi</w:t>
      </w:r>
      <w:r w:rsidR="001A6D69" w:rsidRPr="006233D3">
        <w:rPr>
          <w:rFonts w:ascii="Times New Roman" w:hAnsi="Times New Roman" w:cs="Times New Roman"/>
          <w:sz w:val="24"/>
          <w:szCs w:val="24"/>
        </w:rPr>
        <w:t>jskom razdoblju 2014. – 2020. (Narodne novine</w:t>
      </w:r>
      <w:r w:rsidRPr="006233D3">
        <w:rPr>
          <w:rFonts w:ascii="Times New Roman" w:hAnsi="Times New Roman" w:cs="Times New Roman"/>
          <w:sz w:val="24"/>
          <w:szCs w:val="24"/>
        </w:rPr>
        <w:t xml:space="preserve">, broj 92/2014), Vlada Republike Hrvatske je na sjednici održanoj </w:t>
      </w:r>
      <w:r w:rsidR="00716F90" w:rsidRPr="006233D3">
        <w:rPr>
          <w:rFonts w:ascii="Times New Roman" w:hAnsi="Times New Roman" w:cs="Times New Roman"/>
          <w:sz w:val="24"/>
          <w:szCs w:val="24"/>
        </w:rPr>
        <w:t>...............</w:t>
      </w:r>
      <w:r w:rsidRPr="006233D3">
        <w:rPr>
          <w:rFonts w:ascii="Times New Roman" w:hAnsi="Times New Roman" w:cs="Times New Roman"/>
          <w:sz w:val="24"/>
          <w:szCs w:val="24"/>
        </w:rPr>
        <w:t xml:space="preserve"> godine donijela</w:t>
      </w:r>
    </w:p>
    <w:p w:rsidR="00AA6278" w:rsidRPr="006233D3" w:rsidRDefault="00AA6278" w:rsidP="00AA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932" w:rsidRPr="006233D3" w:rsidRDefault="00243932" w:rsidP="00243932">
      <w:pPr>
        <w:autoSpaceDE w:val="0"/>
        <w:autoSpaceDN w:val="0"/>
        <w:adjustRightInd w:val="0"/>
        <w:ind w:left="567" w:hanging="567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6233D3">
        <w:rPr>
          <w:rFonts w:ascii="Times New Roman" w:eastAsia="Calibri" w:hAnsi="Times New Roman" w:cs="Times New Roman"/>
          <w:b/>
          <w:bCs/>
          <w:sz w:val="32"/>
          <w:szCs w:val="32"/>
        </w:rPr>
        <w:t>UREDBU</w:t>
      </w:r>
    </w:p>
    <w:p w:rsidR="00AA6278" w:rsidRDefault="00243932" w:rsidP="00A9689E">
      <w:pPr>
        <w:autoSpaceDE w:val="0"/>
        <w:autoSpaceDN w:val="0"/>
        <w:adjustRightInd w:val="0"/>
        <w:ind w:left="567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33D3">
        <w:rPr>
          <w:rFonts w:ascii="Times New Roman" w:eastAsia="Calibri" w:hAnsi="Times New Roman" w:cs="Times New Roman"/>
          <w:b/>
          <w:bCs/>
          <w:sz w:val="24"/>
          <w:szCs w:val="24"/>
        </w:rPr>
        <w:t>O IZMJENAMA UREDBE O TIJELIMA U SUSTAVIMA UPRAVLJANJA I KONTROLE KORIŠTENJA EUROPSKOG SOCIJALNOG FONDA, EUROPSKOG FONDA ZA REGIONALNI RAZVOJ I KOHEZIJSKOG FONDA, U VEZI S CILJEM „ULAGANJE ZA RAST I RADNA MJESTA“</w:t>
      </w:r>
    </w:p>
    <w:p w:rsidR="00A9689E" w:rsidRPr="00A9689E" w:rsidRDefault="00A9689E" w:rsidP="00A9689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8F3" w:rsidRPr="006233D3" w:rsidRDefault="004208F3" w:rsidP="00D5283C">
      <w:pPr>
        <w:jc w:val="both"/>
        <w:rPr>
          <w:rFonts w:ascii="Times New Roman" w:hAnsi="Times New Roman" w:cs="Times New Roman"/>
          <w:sz w:val="24"/>
          <w:szCs w:val="24"/>
        </w:rPr>
      </w:pPr>
      <w:r w:rsidRPr="006233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53E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233D3">
        <w:rPr>
          <w:rFonts w:ascii="Times New Roman" w:hAnsi="Times New Roman" w:cs="Times New Roman"/>
          <w:sz w:val="24"/>
          <w:szCs w:val="24"/>
        </w:rPr>
        <w:t xml:space="preserve">       </w:t>
      </w:r>
      <w:r w:rsidR="00153E68">
        <w:rPr>
          <w:rFonts w:ascii="Times New Roman" w:hAnsi="Times New Roman" w:cs="Times New Roman"/>
          <w:sz w:val="24"/>
          <w:szCs w:val="24"/>
        </w:rPr>
        <w:t>Članak 1</w:t>
      </w:r>
      <w:r w:rsidRPr="006233D3">
        <w:rPr>
          <w:rFonts w:ascii="Times New Roman" w:hAnsi="Times New Roman" w:cs="Times New Roman"/>
          <w:sz w:val="24"/>
          <w:szCs w:val="24"/>
        </w:rPr>
        <w:t>.</w:t>
      </w:r>
    </w:p>
    <w:p w:rsidR="000866DD" w:rsidRDefault="00153E68" w:rsidP="00D5283C">
      <w:pPr>
        <w:jc w:val="both"/>
        <w:rPr>
          <w:rFonts w:ascii="Times New Roman" w:hAnsi="Times New Roman" w:cs="Times New Roman"/>
          <w:sz w:val="24"/>
          <w:szCs w:val="24"/>
        </w:rPr>
      </w:pPr>
      <w:r w:rsidRPr="006233D3">
        <w:rPr>
          <w:rFonts w:ascii="Times New Roman" w:hAnsi="Times New Roman" w:cs="Times New Roman"/>
          <w:sz w:val="24"/>
          <w:szCs w:val="24"/>
        </w:rPr>
        <w:t xml:space="preserve">U Uredbi o tijelima u Sustavima upravljanja i kontrole korištenja Europskog socijalnog fonda, Europskog fonda za regionalni razvoj i Kohezijskog fonda, u vezi s ciljem „Ulaganje za rast i radna mjesta“ (Narodne novine, broj 107/2014)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866DD">
        <w:rPr>
          <w:rFonts w:ascii="Times New Roman" w:hAnsi="Times New Roman" w:cs="Times New Roman"/>
          <w:sz w:val="24"/>
          <w:szCs w:val="24"/>
        </w:rPr>
        <w:t xml:space="preserve"> članku 5. stavku 3. točka 40. mijenja se i glasi:</w:t>
      </w:r>
    </w:p>
    <w:p w:rsidR="000866DD" w:rsidRDefault="000866DD" w:rsidP="00D52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866DD">
        <w:rPr>
          <w:rFonts w:ascii="Times New Roman" w:hAnsi="Times New Roman" w:cs="Times New Roman"/>
          <w:sz w:val="24"/>
          <w:szCs w:val="24"/>
        </w:rPr>
        <w:t>40. na temelju sveobuhvatne komunikacijske strategije iz članka 6. stavka 2. točke 16.</w:t>
      </w:r>
      <w:r w:rsidR="00A9689E">
        <w:rPr>
          <w:rFonts w:ascii="Times New Roman" w:hAnsi="Times New Roman" w:cs="Times New Roman"/>
          <w:sz w:val="24"/>
          <w:szCs w:val="24"/>
        </w:rPr>
        <w:t xml:space="preserve"> Zakona, izrađuje komunikacijski</w:t>
      </w:r>
      <w:r w:rsidRPr="00086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0866DD">
        <w:rPr>
          <w:rFonts w:ascii="Times New Roman" w:hAnsi="Times New Roman" w:cs="Times New Roman"/>
          <w:sz w:val="24"/>
          <w:szCs w:val="24"/>
        </w:rPr>
        <w:t xml:space="preserve"> za Operativni program iz svoje nadležnosti, podnosi 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0866DD">
        <w:rPr>
          <w:rFonts w:ascii="Times New Roman" w:hAnsi="Times New Roman" w:cs="Times New Roman"/>
          <w:sz w:val="24"/>
          <w:szCs w:val="24"/>
        </w:rPr>
        <w:t xml:space="preserve"> Koordinacijskom tijelu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A44AF9">
        <w:rPr>
          <w:rFonts w:ascii="Times New Roman" w:hAnsi="Times New Roman" w:cs="Times New Roman"/>
          <w:sz w:val="24"/>
          <w:szCs w:val="24"/>
        </w:rPr>
        <w:t xml:space="preserve"> na odobrenje Odboru za praćenje,</w:t>
      </w:r>
      <w:r>
        <w:rPr>
          <w:rFonts w:ascii="Times New Roman" w:hAnsi="Times New Roman" w:cs="Times New Roman"/>
          <w:sz w:val="24"/>
          <w:szCs w:val="24"/>
        </w:rPr>
        <w:t xml:space="preserve"> nadzire njegovu provedbu</w:t>
      </w:r>
      <w:r w:rsidR="00A44AF9">
        <w:rPr>
          <w:rFonts w:ascii="Times New Roman" w:hAnsi="Times New Roman" w:cs="Times New Roman"/>
          <w:sz w:val="24"/>
          <w:szCs w:val="24"/>
        </w:rPr>
        <w:t xml:space="preserve"> i najmanje jednom godišnje obavještava Odbor za praćenje o napretku njegove provedbe</w:t>
      </w:r>
      <w:r>
        <w:rPr>
          <w:rFonts w:ascii="Times New Roman" w:hAnsi="Times New Roman" w:cs="Times New Roman"/>
          <w:sz w:val="24"/>
          <w:szCs w:val="24"/>
        </w:rPr>
        <w:t>;</w:t>
      </w:r>
      <w:r w:rsidR="0017552E">
        <w:rPr>
          <w:rFonts w:ascii="Times New Roman" w:hAnsi="Times New Roman" w:cs="Times New Roman"/>
          <w:sz w:val="24"/>
          <w:szCs w:val="24"/>
        </w:rPr>
        <w:t>“.</w:t>
      </w:r>
    </w:p>
    <w:p w:rsidR="00153E68" w:rsidRDefault="0017552E" w:rsidP="00153E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točki 41. riječ</w:t>
      </w:r>
      <w:r w:rsidR="00A9689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 „komunikacijskom strategijom“ zamjenjuju se riječima: “komunikacijskim planom“.</w:t>
      </w:r>
      <w:r w:rsidR="00153E68" w:rsidRPr="0015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5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7552E" w:rsidRPr="00A9689E" w:rsidRDefault="00153E68" w:rsidP="00153E68">
      <w:pPr>
        <w:jc w:val="both"/>
        <w:rPr>
          <w:rFonts w:ascii="Times New Roman" w:hAnsi="Times New Roman" w:cs="Times New Roman"/>
          <w:sz w:val="24"/>
          <w:szCs w:val="24"/>
        </w:rPr>
      </w:pPr>
      <w:r w:rsidRPr="00A96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Članak 2.</w:t>
      </w:r>
    </w:p>
    <w:p w:rsidR="00153E68" w:rsidRPr="006233D3" w:rsidRDefault="00153E68" w:rsidP="00153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233D3">
        <w:rPr>
          <w:rFonts w:ascii="Times New Roman" w:hAnsi="Times New Roman" w:cs="Times New Roman"/>
          <w:sz w:val="24"/>
          <w:szCs w:val="24"/>
        </w:rPr>
        <w:t xml:space="preserve"> članku 6. stavku 1. riječi: „prioriteta ulaganja“ zamjenjuju se riječima</w:t>
      </w:r>
      <w:r w:rsidR="00A9689E">
        <w:rPr>
          <w:rFonts w:ascii="Times New Roman" w:hAnsi="Times New Roman" w:cs="Times New Roman"/>
          <w:sz w:val="24"/>
          <w:szCs w:val="24"/>
        </w:rPr>
        <w:t>:</w:t>
      </w:r>
      <w:r w:rsidRPr="006233D3">
        <w:rPr>
          <w:rFonts w:ascii="Times New Roman" w:hAnsi="Times New Roman" w:cs="Times New Roman"/>
          <w:sz w:val="24"/>
          <w:szCs w:val="24"/>
        </w:rPr>
        <w:t xml:space="preserve"> „investicijskih prioriteta“.</w:t>
      </w:r>
    </w:p>
    <w:p w:rsidR="0017552E" w:rsidRDefault="00153E68" w:rsidP="00A96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689E">
        <w:rPr>
          <w:rFonts w:ascii="Times New Roman" w:hAnsi="Times New Roman" w:cs="Times New Roman"/>
          <w:sz w:val="24"/>
          <w:szCs w:val="24"/>
        </w:rPr>
        <w:tab/>
      </w:r>
      <w:r w:rsidR="00A9689E">
        <w:rPr>
          <w:rFonts w:ascii="Times New Roman" w:hAnsi="Times New Roman" w:cs="Times New Roman"/>
          <w:sz w:val="24"/>
          <w:szCs w:val="24"/>
        </w:rPr>
        <w:tab/>
      </w:r>
      <w:r w:rsidR="00A9689E">
        <w:rPr>
          <w:rFonts w:ascii="Times New Roman" w:hAnsi="Times New Roman" w:cs="Times New Roman"/>
          <w:sz w:val="24"/>
          <w:szCs w:val="24"/>
        </w:rPr>
        <w:tab/>
      </w:r>
      <w:r w:rsidR="00A9689E">
        <w:rPr>
          <w:rFonts w:ascii="Times New Roman" w:hAnsi="Times New Roman" w:cs="Times New Roman"/>
          <w:sz w:val="24"/>
          <w:szCs w:val="24"/>
        </w:rPr>
        <w:tab/>
      </w:r>
      <w:r w:rsidR="00A968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7552E">
        <w:rPr>
          <w:rFonts w:ascii="Times New Roman" w:hAnsi="Times New Roman" w:cs="Times New Roman"/>
          <w:sz w:val="24"/>
          <w:szCs w:val="24"/>
        </w:rPr>
        <w:t>Članak 3.</w:t>
      </w:r>
    </w:p>
    <w:p w:rsidR="000866DD" w:rsidRDefault="0017552E" w:rsidP="00D52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7. točki 13.</w:t>
      </w:r>
      <w:r w:rsidR="00E4300F">
        <w:rPr>
          <w:rFonts w:ascii="Times New Roman" w:hAnsi="Times New Roman" w:cs="Times New Roman"/>
          <w:sz w:val="24"/>
          <w:szCs w:val="24"/>
        </w:rPr>
        <w:t xml:space="preserve"> i u članku 8. točki 21. </w:t>
      </w:r>
      <w:r>
        <w:rPr>
          <w:rFonts w:ascii="Times New Roman" w:hAnsi="Times New Roman" w:cs="Times New Roman"/>
          <w:sz w:val="24"/>
          <w:szCs w:val="24"/>
        </w:rPr>
        <w:t xml:space="preserve">riječi: „komunikacijskom strategijom“ zamjenjuju se riječima: </w:t>
      </w:r>
      <w:r w:rsidR="00D42E88">
        <w:rPr>
          <w:rFonts w:ascii="Times New Roman" w:hAnsi="Times New Roman" w:cs="Times New Roman"/>
          <w:sz w:val="24"/>
          <w:szCs w:val="24"/>
        </w:rPr>
        <w:t>„komunikacijskim planom“</w:t>
      </w:r>
    </w:p>
    <w:p w:rsidR="000866DD" w:rsidRDefault="0017552E" w:rsidP="00D52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300F">
        <w:rPr>
          <w:rFonts w:ascii="Times New Roman" w:hAnsi="Times New Roman" w:cs="Times New Roman"/>
          <w:sz w:val="24"/>
          <w:szCs w:val="24"/>
        </w:rPr>
        <w:t>Članak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83C" w:rsidRDefault="004208F3" w:rsidP="00D5283C">
      <w:pPr>
        <w:jc w:val="both"/>
        <w:rPr>
          <w:rFonts w:ascii="Times New Roman" w:hAnsi="Times New Roman" w:cs="Times New Roman"/>
          <w:sz w:val="24"/>
          <w:szCs w:val="24"/>
        </w:rPr>
      </w:pPr>
      <w:r w:rsidRPr="006233D3">
        <w:rPr>
          <w:rFonts w:ascii="Times New Roman" w:hAnsi="Times New Roman" w:cs="Times New Roman"/>
          <w:sz w:val="24"/>
          <w:szCs w:val="24"/>
        </w:rPr>
        <w:t>Prilog</w:t>
      </w:r>
      <w:r w:rsidR="00B241E6" w:rsidRPr="006233D3">
        <w:rPr>
          <w:rFonts w:ascii="Times New Roman" w:hAnsi="Times New Roman" w:cs="Times New Roman"/>
          <w:sz w:val="24"/>
          <w:szCs w:val="24"/>
        </w:rPr>
        <w:t xml:space="preserve"> – Prikaz Posredničkih tijela nadležnih za provedbu izabranih prioriteta ulaganja</w:t>
      </w:r>
      <w:r w:rsidR="005129B4" w:rsidRPr="006233D3">
        <w:rPr>
          <w:rFonts w:ascii="Times New Roman" w:hAnsi="Times New Roman" w:cs="Times New Roman"/>
          <w:sz w:val="24"/>
          <w:szCs w:val="24"/>
        </w:rPr>
        <w:t>, po Operativnom programu</w:t>
      </w:r>
      <w:r w:rsidR="000C24F2" w:rsidRPr="006233D3">
        <w:rPr>
          <w:rFonts w:ascii="Times New Roman" w:hAnsi="Times New Roman" w:cs="Times New Roman"/>
          <w:sz w:val="24"/>
          <w:szCs w:val="24"/>
        </w:rPr>
        <w:t xml:space="preserve"> </w:t>
      </w:r>
      <w:r w:rsidRPr="006233D3">
        <w:rPr>
          <w:rFonts w:ascii="Times New Roman" w:hAnsi="Times New Roman" w:cs="Times New Roman"/>
          <w:sz w:val="24"/>
          <w:szCs w:val="24"/>
        </w:rPr>
        <w:t>mijenja se i glasi</w:t>
      </w:r>
      <w:r w:rsidR="00D5283C" w:rsidRPr="006233D3">
        <w:rPr>
          <w:rFonts w:ascii="Times New Roman" w:hAnsi="Times New Roman" w:cs="Times New Roman"/>
          <w:sz w:val="24"/>
          <w:szCs w:val="24"/>
        </w:rPr>
        <w:t>:</w:t>
      </w:r>
    </w:p>
    <w:p w:rsidR="000866DD" w:rsidRDefault="000866DD" w:rsidP="00D5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6DD" w:rsidRPr="006233D3" w:rsidRDefault="000866DD" w:rsidP="00D5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1AF" w:rsidRPr="006233D3" w:rsidRDefault="009851AF" w:rsidP="00AA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1AF" w:rsidRPr="006233D3" w:rsidRDefault="009851AF" w:rsidP="00AA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026" w:rsidRPr="006233D3" w:rsidRDefault="003C6026" w:rsidP="00AA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026" w:rsidRPr="006233D3" w:rsidRDefault="003C6026" w:rsidP="00AA6278">
      <w:pPr>
        <w:jc w:val="both"/>
        <w:rPr>
          <w:rFonts w:ascii="Times New Roman" w:hAnsi="Times New Roman" w:cs="Times New Roman"/>
        </w:rPr>
      </w:pPr>
    </w:p>
    <w:p w:rsidR="003C6026" w:rsidRPr="006233D3" w:rsidRDefault="003C6026" w:rsidP="00AA6278">
      <w:pPr>
        <w:jc w:val="both"/>
        <w:rPr>
          <w:rFonts w:ascii="Times New Roman" w:hAnsi="Times New Roman" w:cs="Times New Roman"/>
        </w:rPr>
      </w:pPr>
    </w:p>
    <w:p w:rsidR="009851AF" w:rsidRPr="006233D3" w:rsidRDefault="009851AF" w:rsidP="00AA6278">
      <w:pPr>
        <w:jc w:val="both"/>
        <w:rPr>
          <w:rFonts w:ascii="Times New Roman" w:hAnsi="Times New Roman" w:cs="Times New Roman"/>
        </w:rPr>
      </w:pPr>
    </w:p>
    <w:p w:rsidR="000C24F2" w:rsidRPr="006233D3" w:rsidRDefault="000C24F2" w:rsidP="000C2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sectPr w:rsidR="000C24F2" w:rsidRPr="006233D3" w:rsidSect="003C602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C24F2" w:rsidRPr="006233D3" w:rsidRDefault="000C24F2" w:rsidP="000C2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3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PRILOG</w:t>
      </w:r>
    </w:p>
    <w:p w:rsidR="000C24F2" w:rsidRPr="006233D3" w:rsidRDefault="000C24F2" w:rsidP="000C2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233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PRIKAZ POSREDNIČKIH TIJELA NADLEŽNIH ZA PROVEDBU IZABRANIH</w:t>
      </w:r>
      <w:r w:rsidR="00EC3911" w:rsidRPr="006233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INVESTICIJSKIH</w:t>
      </w:r>
      <w:r w:rsidRPr="006233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PRIORITETA, PO OPERATIVNOM PROGRAMU</w:t>
      </w:r>
    </w:p>
    <w:tbl>
      <w:tblPr>
        <w:tblStyle w:val="TableGrid4"/>
        <w:tblW w:w="14220" w:type="dxa"/>
        <w:tblLayout w:type="fixed"/>
        <w:tblLook w:val="04A0" w:firstRow="1" w:lastRow="0" w:firstColumn="1" w:lastColumn="0" w:noHBand="0" w:noVBand="1"/>
      </w:tblPr>
      <w:tblGrid>
        <w:gridCol w:w="1949"/>
        <w:gridCol w:w="3829"/>
        <w:gridCol w:w="1276"/>
        <w:gridCol w:w="3827"/>
        <w:gridCol w:w="1701"/>
        <w:gridCol w:w="1638"/>
      </w:tblGrid>
      <w:tr w:rsidR="009851AF" w:rsidRPr="006233D3" w:rsidTr="0070295E">
        <w:trPr>
          <w:trHeight w:val="555"/>
          <w:tblHeader/>
        </w:trPr>
        <w:tc>
          <w:tcPr>
            <w:tcW w:w="14220" w:type="dxa"/>
            <w:gridSpan w:val="6"/>
          </w:tcPr>
          <w:p w:rsidR="0070295E" w:rsidRPr="006233D3" w:rsidRDefault="0070295E" w:rsidP="00702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Prikaz 1</w:t>
            </w:r>
          </w:p>
          <w:p w:rsidR="009851AF" w:rsidRPr="006233D3" w:rsidRDefault="0070295E" w:rsidP="00DD0C9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Operativni program »Konkurentnost i kohezija«</w:t>
            </w:r>
          </w:p>
        </w:tc>
      </w:tr>
      <w:tr w:rsidR="009851AF" w:rsidRPr="006233D3" w:rsidTr="0092168E">
        <w:trPr>
          <w:trHeight w:val="645"/>
          <w:tblHeader/>
        </w:trPr>
        <w:tc>
          <w:tcPr>
            <w:tcW w:w="1949" w:type="dxa"/>
            <w:noWrap/>
            <w:vAlign w:val="center"/>
            <w:hideMark/>
          </w:tcPr>
          <w:p w:rsidR="009851AF" w:rsidRPr="006233D3" w:rsidRDefault="009851AF" w:rsidP="003E41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33D3">
              <w:rPr>
                <w:rFonts w:ascii="Times New Roman" w:eastAsia="Calibri" w:hAnsi="Times New Roman" w:cs="Times New Roman"/>
                <w:b/>
                <w:bCs/>
              </w:rPr>
              <w:t>Prioritetna os</w:t>
            </w:r>
          </w:p>
        </w:tc>
        <w:tc>
          <w:tcPr>
            <w:tcW w:w="3829" w:type="dxa"/>
            <w:vAlign w:val="center"/>
          </w:tcPr>
          <w:p w:rsidR="009851AF" w:rsidRPr="006233D3" w:rsidRDefault="009851AF" w:rsidP="0092168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33D3">
              <w:rPr>
                <w:rFonts w:ascii="Times New Roman" w:eastAsia="Calibri" w:hAnsi="Times New Roman" w:cs="Times New Roman"/>
                <w:b/>
                <w:bCs/>
              </w:rPr>
              <w:t xml:space="preserve">Izabrani </w:t>
            </w:r>
            <w:r w:rsidR="00EC3911" w:rsidRPr="006233D3">
              <w:rPr>
                <w:rFonts w:ascii="Times New Roman" w:eastAsia="Calibri" w:hAnsi="Times New Roman" w:cs="Times New Roman"/>
                <w:b/>
                <w:bCs/>
              </w:rPr>
              <w:t>investicijski prioritet</w:t>
            </w:r>
          </w:p>
        </w:tc>
        <w:tc>
          <w:tcPr>
            <w:tcW w:w="1276" w:type="dxa"/>
            <w:noWrap/>
            <w:vAlign w:val="center"/>
            <w:hideMark/>
          </w:tcPr>
          <w:p w:rsidR="009851AF" w:rsidRPr="006233D3" w:rsidRDefault="009851AF" w:rsidP="003E41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33D3">
              <w:rPr>
                <w:rFonts w:ascii="Times New Roman" w:eastAsia="Calibri" w:hAnsi="Times New Roman" w:cs="Times New Roman"/>
                <w:b/>
                <w:bCs/>
              </w:rPr>
              <w:t>Oznaka specifičnog cilja (OSC)</w:t>
            </w:r>
          </w:p>
          <w:p w:rsidR="009851AF" w:rsidRPr="006233D3" w:rsidRDefault="009851AF" w:rsidP="003E41E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9851AF" w:rsidRPr="006233D3" w:rsidRDefault="0028521B" w:rsidP="003E41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33D3">
              <w:rPr>
                <w:rFonts w:ascii="Times New Roman" w:eastAsia="Calibri" w:hAnsi="Times New Roman" w:cs="Times New Roman"/>
                <w:b/>
                <w:bCs/>
              </w:rPr>
              <w:t>Naziv s</w:t>
            </w:r>
            <w:r w:rsidR="009851AF" w:rsidRPr="006233D3">
              <w:rPr>
                <w:rFonts w:ascii="Times New Roman" w:eastAsia="Calibri" w:hAnsi="Times New Roman" w:cs="Times New Roman"/>
                <w:b/>
                <w:bCs/>
              </w:rPr>
              <w:t>pecifičnog cilja</w:t>
            </w:r>
          </w:p>
        </w:tc>
        <w:tc>
          <w:tcPr>
            <w:tcW w:w="1701" w:type="dxa"/>
            <w:noWrap/>
            <w:vAlign w:val="center"/>
            <w:hideMark/>
          </w:tcPr>
          <w:p w:rsidR="009851AF" w:rsidRPr="006233D3" w:rsidRDefault="009851AF" w:rsidP="003E41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33D3">
              <w:rPr>
                <w:rFonts w:ascii="Times New Roman" w:eastAsia="Calibri" w:hAnsi="Times New Roman" w:cs="Times New Roman"/>
                <w:b/>
                <w:bCs/>
              </w:rPr>
              <w:t>Posredničko tijelo razine 1</w:t>
            </w:r>
          </w:p>
        </w:tc>
        <w:tc>
          <w:tcPr>
            <w:tcW w:w="1638" w:type="dxa"/>
            <w:noWrap/>
            <w:vAlign w:val="center"/>
            <w:hideMark/>
          </w:tcPr>
          <w:p w:rsidR="009851AF" w:rsidRPr="006233D3" w:rsidRDefault="009851AF" w:rsidP="003E41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33D3">
              <w:rPr>
                <w:rFonts w:ascii="Times New Roman" w:eastAsia="Calibri" w:hAnsi="Times New Roman" w:cs="Times New Roman"/>
                <w:b/>
                <w:bCs/>
              </w:rPr>
              <w:t>Posredničko tijelo razine 2</w:t>
            </w:r>
          </w:p>
        </w:tc>
      </w:tr>
      <w:tr w:rsidR="009851AF" w:rsidRPr="006233D3" w:rsidTr="0070295E">
        <w:trPr>
          <w:trHeight w:val="1025"/>
        </w:trPr>
        <w:tc>
          <w:tcPr>
            <w:tcW w:w="1949" w:type="dxa"/>
            <w:vMerge w:val="restart"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1. Jačanje gospodarstva primjenom istraživanja i inovacija</w:t>
            </w:r>
          </w:p>
        </w:tc>
        <w:tc>
          <w:tcPr>
            <w:tcW w:w="3829" w:type="dxa"/>
          </w:tcPr>
          <w:p w:rsidR="009851AF" w:rsidRPr="006233D3" w:rsidRDefault="00541381" w:rsidP="00C0361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Poboljšanje infrastrukture i kapaciteta za istraživanje i inovacije s ciljem razvijanja uspješnosti istraživanja i inovacija te promoviranje centara za kompetencije, posebno onih od europskog interesa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1a1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Povećana sposobnost sektora </w:t>
            </w:r>
            <w:r w:rsidR="003E41EE" w:rsidRPr="006233D3">
              <w:rPr>
                <w:rFonts w:ascii="Times New Roman" w:eastAsia="Calibri" w:hAnsi="Times New Roman" w:cs="Times New Roman"/>
                <w:bCs/>
              </w:rPr>
              <w:t>istraživanja i razvoja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(IR) za </w:t>
            </w:r>
            <w:r w:rsidR="003E41EE" w:rsidRPr="006233D3">
              <w:rPr>
                <w:rFonts w:ascii="Times New Roman" w:eastAsia="Calibri" w:hAnsi="Times New Roman" w:cs="Times New Roman"/>
                <w:bCs/>
              </w:rPr>
              <w:t xml:space="preserve">obnavljanje </w:t>
            </w:r>
            <w:r w:rsidRPr="006233D3">
              <w:rPr>
                <w:rFonts w:ascii="Times New Roman" w:eastAsia="Calibri" w:hAnsi="Times New Roman" w:cs="Times New Roman"/>
                <w:bCs/>
              </w:rPr>
              <w:t>istraživanja vrhunske kvalitete i zadovoljavanje potreba gospodarstva</w:t>
            </w:r>
          </w:p>
        </w:tc>
        <w:tc>
          <w:tcPr>
            <w:tcW w:w="1701" w:type="dxa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znanosti, obrazovanja i sporta</w:t>
            </w:r>
          </w:p>
        </w:tc>
        <w:tc>
          <w:tcPr>
            <w:tcW w:w="1638" w:type="dxa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Agencija za strukovno obrazovanje i obrazovanje odraslih</w:t>
            </w:r>
          </w:p>
        </w:tc>
      </w:tr>
      <w:tr w:rsidR="009851AF" w:rsidRPr="006233D3" w:rsidTr="003403BB">
        <w:trPr>
          <w:trHeight w:val="293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 w:val="restart"/>
          </w:tcPr>
          <w:p w:rsidR="009851AF" w:rsidRPr="006233D3" w:rsidRDefault="007E49AF" w:rsidP="00C0361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Promicanje poslovnih ulaganja u inovacijama i istraživanjima te razvoj veza i sinergija između poduzeća, IR centara i visokog obrazovanja, posebno razvoja proizvoda i usluga,tehnološko povezivanje, socijalna inovacija, ekološka inovacija, usluge javnog servisa, zahtjevi za poticajima, umrežavanje, </w:t>
            </w:r>
            <w:proofErr w:type="spellStart"/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klasteri</w:t>
            </w:r>
            <w:proofErr w:type="spellEnd"/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otvorena inovacija kroz pametnu specijalizaciju, tehnološko jačanje i primijenjeno istraživanje, pilot linije, pred proizvodna provjera valjanosti, napredne proizvodne mogućnosti i početne proizvodnje, posebno u Ključnim tehnologijama koje potiču razvoj i inovacije i širenje </w:t>
            </w: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tehnologija za opću namjenu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lastRenderedPageBreak/>
              <w:t>1b1</w:t>
            </w:r>
          </w:p>
        </w:tc>
        <w:tc>
          <w:tcPr>
            <w:tcW w:w="3827" w:type="dxa"/>
            <w:hideMark/>
          </w:tcPr>
          <w:p w:rsidR="009851AF" w:rsidRPr="006233D3" w:rsidRDefault="003E41EE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Novi proizvodi i usluge kao rezultat djelatnosti istraživanja, razvoja i inovacija (IRI</w:t>
            </w:r>
            <w:r w:rsidR="001B29A7" w:rsidRPr="006233D3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gospodarstva</w:t>
            </w:r>
          </w:p>
        </w:tc>
        <w:tc>
          <w:tcPr>
            <w:tcW w:w="1638" w:type="dxa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Hrvatska agencija za malo gospodarstvo, inovacije i investicije</w:t>
            </w:r>
          </w:p>
        </w:tc>
      </w:tr>
      <w:tr w:rsidR="009851AF" w:rsidRPr="006233D3" w:rsidTr="0070295E">
        <w:trPr>
          <w:trHeight w:val="867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1b2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Jačanje djelatnosti istraživanja, razvoja i inovacija</w:t>
            </w:r>
            <w:r w:rsidR="003E41EE" w:rsidRPr="006233D3">
              <w:rPr>
                <w:rFonts w:ascii="Times New Roman" w:eastAsia="Calibri" w:hAnsi="Times New Roman" w:cs="Times New Roman"/>
                <w:bCs/>
              </w:rPr>
              <w:t xml:space="preserve"> (IRI)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poslovnog sektora kroz stvaranje povoljnog inovacijskog okruženja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Središnja agencija za financiranje i ugovaranje programa i projekata Europske unije</w:t>
            </w:r>
          </w:p>
        </w:tc>
      </w:tr>
      <w:tr w:rsidR="009851AF" w:rsidRPr="006233D3" w:rsidTr="0070295E">
        <w:trPr>
          <w:trHeight w:val="1122"/>
        </w:trPr>
        <w:tc>
          <w:tcPr>
            <w:tcW w:w="1949" w:type="dxa"/>
            <w:vMerge w:val="restart"/>
            <w:hideMark/>
          </w:tcPr>
          <w:p w:rsidR="009851AF" w:rsidRPr="006233D3" w:rsidRDefault="0028521B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lastRenderedPageBreak/>
              <w:t>2. Korištenje informacijskih i komunikacijskih tehnologija</w:t>
            </w:r>
          </w:p>
        </w:tc>
        <w:tc>
          <w:tcPr>
            <w:tcW w:w="3829" w:type="dxa"/>
            <w:vAlign w:val="center"/>
          </w:tcPr>
          <w:p w:rsidR="009851AF" w:rsidRPr="003403BB" w:rsidRDefault="003403BB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403BB">
              <w:rPr>
                <w:rFonts w:ascii="Times New Roman" w:hAnsi="Times New Roman" w:cs="Times New Roman"/>
                <w:bCs/>
                <w:color w:val="000000" w:themeColor="text1"/>
                <w:lang w:eastAsia="fr-BE"/>
              </w:rPr>
              <w:t>Proširenje dostupnosti širokopojasnog pristupa i izgradnja mreža velikih brzina te podrška usvajanju novih tehnologija i mreža za digitalno gospodarstvo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2a1</w:t>
            </w:r>
          </w:p>
        </w:tc>
        <w:tc>
          <w:tcPr>
            <w:tcW w:w="3827" w:type="dxa"/>
            <w:hideMark/>
          </w:tcPr>
          <w:p w:rsidR="009851AF" w:rsidRPr="006233D3" w:rsidRDefault="003E41EE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Razvoj infrastrukturne širokopojasne mreže sljedeće generacije u područjima bez infrastrukture širokopojasne mreže sljedeće generacije i bez dovoljno komercijalnog interesa, za maksimalno povećanje socijalne i ekonomske dobrobiti</w:t>
            </w:r>
          </w:p>
        </w:tc>
        <w:tc>
          <w:tcPr>
            <w:tcW w:w="1701" w:type="dxa"/>
            <w:hideMark/>
          </w:tcPr>
          <w:p w:rsidR="009851AF" w:rsidRPr="006233D3" w:rsidRDefault="0028521B" w:rsidP="0070295E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pomorstva, prometa i infrastrukture</w:t>
            </w:r>
          </w:p>
        </w:tc>
        <w:tc>
          <w:tcPr>
            <w:tcW w:w="1638" w:type="dxa"/>
            <w:hideMark/>
          </w:tcPr>
          <w:p w:rsidR="009851AF" w:rsidRPr="006233D3" w:rsidRDefault="00493C32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pomorstva, prometa i infrastrukture</w:t>
            </w:r>
          </w:p>
        </w:tc>
      </w:tr>
      <w:tr w:rsidR="009851AF" w:rsidRPr="006233D3" w:rsidTr="0070295E">
        <w:trPr>
          <w:trHeight w:val="1113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Align w:val="center"/>
          </w:tcPr>
          <w:p w:rsidR="009851AF" w:rsidRPr="006233D3" w:rsidRDefault="00541381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Jačanje aplikacija informacijskih i komunikacijskih tehnologija za e–upravu, e–učenje, e–uključenost, e–kulturu i e–zdravlje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2c1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Povećanje korištenja IKT-a u komunikaciji između građana i javne uprave putem uspostave IKT koordinacijske strukture i softverskih rješenja</w:t>
            </w:r>
          </w:p>
        </w:tc>
        <w:tc>
          <w:tcPr>
            <w:tcW w:w="1701" w:type="dxa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regionalnoga razvoja i fondova Europske unije</w:t>
            </w:r>
          </w:p>
        </w:tc>
        <w:tc>
          <w:tcPr>
            <w:tcW w:w="1638" w:type="dxa"/>
            <w:hideMark/>
          </w:tcPr>
          <w:p w:rsidR="009851AF" w:rsidRPr="006233D3" w:rsidRDefault="00493C32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Središnja agencija za financiranje i ugovaranje programa i projekata Europske unije</w:t>
            </w:r>
          </w:p>
        </w:tc>
      </w:tr>
      <w:tr w:rsidR="009851AF" w:rsidRPr="006233D3" w:rsidTr="0070295E">
        <w:trPr>
          <w:trHeight w:val="660"/>
        </w:trPr>
        <w:tc>
          <w:tcPr>
            <w:tcW w:w="1949" w:type="dxa"/>
            <w:vMerge w:val="restart"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3. Poslovna konkurentnost</w:t>
            </w:r>
          </w:p>
        </w:tc>
        <w:tc>
          <w:tcPr>
            <w:tcW w:w="3829" w:type="dxa"/>
            <w:vMerge w:val="restart"/>
            <w:vAlign w:val="center"/>
          </w:tcPr>
          <w:p w:rsidR="009851AF" w:rsidRPr="006233D3" w:rsidRDefault="00541381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Promicanje poduzetništva, posebno olakšavajući ekonomsko iskorištavanje novih ideja i poticanje stvaranja novih poduzeća, uključujući putem poslovnih inkubatora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3a1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Bolji pristup financiranju za </w:t>
            </w:r>
            <w:r w:rsidR="003E41EE" w:rsidRPr="006233D3">
              <w:rPr>
                <w:rFonts w:ascii="Times New Roman" w:eastAsia="Calibri" w:hAnsi="Times New Roman" w:cs="Times New Roman"/>
                <w:bCs/>
              </w:rPr>
              <w:t>male i srednje poduzetnike</w:t>
            </w:r>
          </w:p>
        </w:tc>
        <w:tc>
          <w:tcPr>
            <w:tcW w:w="1701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poduzetništva i obrta</w:t>
            </w:r>
          </w:p>
        </w:tc>
        <w:tc>
          <w:tcPr>
            <w:tcW w:w="1638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Hrvatska agencija za malo gospodarstvo, inovacije i investicije</w:t>
            </w:r>
          </w:p>
        </w:tc>
      </w:tr>
      <w:tr w:rsidR="009851AF" w:rsidRPr="006233D3" w:rsidTr="0070295E">
        <w:trPr>
          <w:trHeight w:val="503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  <w:vAlign w:val="center"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3a2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Omogućavanje povoljnog okruženja za </w:t>
            </w:r>
            <w:r w:rsidR="003E41EE" w:rsidRPr="006233D3">
              <w:rPr>
                <w:rFonts w:ascii="Times New Roman" w:eastAsia="Calibri" w:hAnsi="Times New Roman" w:cs="Times New Roman"/>
                <w:bCs/>
              </w:rPr>
              <w:t>razvoj poduzetništva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425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9851AF" w:rsidRPr="003403BB" w:rsidRDefault="003403BB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403BB">
              <w:rPr>
                <w:rFonts w:ascii="Times New Roman" w:hAnsi="Times New Roman" w:cs="Times New Roman"/>
              </w:rPr>
              <w:t>Podupiranje kapaciteta MSP-ova za rast  na regionalnom, nacionalnom i međunarodnom tržištu te angažiranost u inovacijskim procesima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3d1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Poboljšani razvoj i rast </w:t>
            </w:r>
            <w:r w:rsidR="003E41EE" w:rsidRPr="006233D3">
              <w:rPr>
                <w:rFonts w:ascii="Times New Roman" w:eastAsia="Calibri" w:hAnsi="Times New Roman" w:cs="Times New Roman"/>
                <w:bCs/>
              </w:rPr>
              <w:t>malih i srednjih poduzetnika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na domaćem i stranim tržištima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271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3d2</w:t>
            </w:r>
          </w:p>
        </w:tc>
        <w:tc>
          <w:tcPr>
            <w:tcW w:w="3827" w:type="dxa"/>
            <w:hideMark/>
          </w:tcPr>
          <w:p w:rsidR="009851AF" w:rsidRPr="006233D3" w:rsidRDefault="003E41EE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Poboljšana </w:t>
            </w:r>
            <w:r w:rsidR="00FE1FD7" w:rsidRPr="006233D3">
              <w:rPr>
                <w:rFonts w:ascii="Times New Roman" w:eastAsia="Calibri" w:hAnsi="Times New Roman" w:cs="Times New Roman"/>
                <w:bCs/>
              </w:rPr>
              <w:t xml:space="preserve">inovativnost </w:t>
            </w:r>
            <w:r w:rsidRPr="006233D3">
              <w:rPr>
                <w:rFonts w:ascii="Times New Roman" w:eastAsia="Calibri" w:hAnsi="Times New Roman" w:cs="Times New Roman"/>
                <w:bCs/>
              </w:rPr>
              <w:t>malih i srednjih poduzetnika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664"/>
        </w:trPr>
        <w:tc>
          <w:tcPr>
            <w:tcW w:w="1949" w:type="dxa"/>
            <w:vMerge w:val="restart"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lastRenderedPageBreak/>
              <w:t>4. Promicanje energetske učinkovitosti i obnovljivih izvora energije</w:t>
            </w:r>
          </w:p>
        </w:tc>
        <w:tc>
          <w:tcPr>
            <w:tcW w:w="3829" w:type="dxa"/>
            <w:vMerge w:val="restart"/>
            <w:vAlign w:val="center"/>
          </w:tcPr>
          <w:p w:rsidR="00541381" w:rsidRPr="006233D3" w:rsidRDefault="00541381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Promicanje energetske učinkovitosti i korištenja obnovljivih izvora energije u poduzećima </w:t>
            </w:r>
          </w:p>
          <w:p w:rsidR="009851AF" w:rsidRPr="006233D3" w:rsidRDefault="009851AF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4b1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Povećanje energetske učinkovitosti i korištenja OIE u proizvodnim industrijama</w:t>
            </w:r>
          </w:p>
        </w:tc>
        <w:tc>
          <w:tcPr>
            <w:tcW w:w="1701" w:type="dxa"/>
            <w:vMerge w:val="restart"/>
            <w:noWrap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gospodarstva</w:t>
            </w:r>
          </w:p>
        </w:tc>
        <w:tc>
          <w:tcPr>
            <w:tcW w:w="1638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Fond za zaštitu okoliša i energetsku učinkovitost</w:t>
            </w:r>
          </w:p>
        </w:tc>
      </w:tr>
      <w:tr w:rsidR="009851AF" w:rsidRPr="006233D3" w:rsidTr="0070295E">
        <w:trPr>
          <w:trHeight w:val="781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  <w:vAlign w:val="center"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4b2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Povećanje energetske učinkovitosti i korištenja OIE u privatnom uslužnom sektoru (turizam</w:t>
            </w:r>
            <w:r w:rsidR="003E41EE" w:rsidRPr="006233D3">
              <w:rPr>
                <w:rFonts w:ascii="Times New Roman" w:eastAsia="Calibri" w:hAnsi="Times New Roman" w:cs="Times New Roman"/>
                <w:bCs/>
              </w:rPr>
              <w:t xml:space="preserve"> i </w:t>
            </w:r>
            <w:r w:rsidRPr="006233D3">
              <w:rPr>
                <w:rFonts w:ascii="Times New Roman" w:eastAsia="Calibri" w:hAnsi="Times New Roman" w:cs="Times New Roman"/>
                <w:bCs/>
              </w:rPr>
              <w:t>trgovina)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468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9851AF" w:rsidRPr="006233D3" w:rsidRDefault="00541381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Podupiranje energetske učinkovitosti, pametnog upravljanja energijom i korištenja OIE u javnoj infrastrukturi, uključujući javne zgrade, i u stambenom sektoru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4c1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Smanjenje  potrošnje energije u zgradama javnog sektora</w:t>
            </w:r>
          </w:p>
        </w:tc>
        <w:tc>
          <w:tcPr>
            <w:tcW w:w="1701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graditeljstva i prostornoga uređenja</w:t>
            </w: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765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  <w:vAlign w:val="center"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4c2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Smanjenje potrošnje energije u stambenim zgradama (u </w:t>
            </w:r>
            <w:proofErr w:type="spellStart"/>
            <w:r w:rsidRPr="006233D3">
              <w:rPr>
                <w:rFonts w:ascii="Times New Roman" w:eastAsia="Calibri" w:hAnsi="Times New Roman" w:cs="Times New Roman"/>
                <w:bCs/>
              </w:rPr>
              <w:t>višestambenim</w:t>
            </w:r>
            <w:proofErr w:type="spellEnd"/>
            <w:r w:rsidRPr="006233D3">
              <w:rPr>
                <w:rFonts w:ascii="Times New Roman" w:eastAsia="Calibri" w:hAnsi="Times New Roman" w:cs="Times New Roman"/>
                <w:bCs/>
              </w:rPr>
              <w:t xml:space="preserve"> zgradama i obiteljskim kućama)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478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  <w:vAlign w:val="center"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4c3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Povećanje učinkovitosti sustava </w:t>
            </w:r>
            <w:proofErr w:type="spellStart"/>
            <w:r w:rsidRPr="006233D3">
              <w:rPr>
                <w:rFonts w:ascii="Times New Roman" w:eastAsia="Calibri" w:hAnsi="Times New Roman" w:cs="Times New Roman"/>
                <w:bCs/>
              </w:rPr>
              <w:t>toplinarstva</w:t>
            </w:r>
            <w:proofErr w:type="spellEnd"/>
          </w:p>
        </w:tc>
        <w:tc>
          <w:tcPr>
            <w:tcW w:w="1701" w:type="dxa"/>
            <w:vMerge w:val="restart"/>
            <w:noWrap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gospodarstva</w:t>
            </w:r>
          </w:p>
        </w:tc>
        <w:tc>
          <w:tcPr>
            <w:tcW w:w="1638" w:type="dxa"/>
            <w:vMerge w:val="restart"/>
            <w:noWrap/>
            <w:hideMark/>
          </w:tcPr>
          <w:p w:rsidR="009851AF" w:rsidRPr="006233D3" w:rsidRDefault="00CA3A9D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Fond za zaštitu okoliša i energetsku učinkovitost</w:t>
            </w:r>
          </w:p>
        </w:tc>
      </w:tr>
      <w:tr w:rsidR="009851AF" w:rsidRPr="006233D3" w:rsidTr="0070295E">
        <w:trPr>
          <w:trHeight w:val="465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  <w:vAlign w:val="center"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4c4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Povećanje učinkovitosti javne rasvjete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286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Align w:val="center"/>
          </w:tcPr>
          <w:p w:rsidR="009851AF" w:rsidRPr="006233D3" w:rsidRDefault="00541381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Razvoj i provedba pametnih sustava distribucije koji djeluju pri niskim i srednjim razinama napona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4d1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Pilot</w:t>
            </w:r>
            <w:r w:rsidR="006233D3" w:rsidRPr="006233D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233D3">
              <w:rPr>
                <w:rFonts w:ascii="Times New Roman" w:eastAsia="Calibri" w:hAnsi="Times New Roman" w:cs="Times New Roman"/>
                <w:bCs/>
              </w:rPr>
              <w:t>projekt uvođenja</w:t>
            </w:r>
            <w:r w:rsidR="006233D3" w:rsidRPr="006233D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3E41EE" w:rsidRPr="006233D3">
              <w:rPr>
                <w:rFonts w:ascii="Times New Roman" w:eastAsia="Calibri" w:hAnsi="Times New Roman" w:cs="Times New Roman"/>
                <w:bCs/>
              </w:rPr>
              <w:t>naprednih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mreža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1104"/>
        </w:trPr>
        <w:tc>
          <w:tcPr>
            <w:tcW w:w="1949" w:type="dxa"/>
            <w:vMerge w:val="restart"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5. Klimatske promjene i upravljanje rizicima</w:t>
            </w:r>
          </w:p>
        </w:tc>
        <w:tc>
          <w:tcPr>
            <w:tcW w:w="3829" w:type="dxa"/>
            <w:vAlign w:val="center"/>
          </w:tcPr>
          <w:p w:rsidR="009851AF" w:rsidRPr="003403BB" w:rsidRDefault="003403BB" w:rsidP="003403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403BB">
              <w:rPr>
                <w:rFonts w:ascii="Times New Roman" w:eastAsia="Times New Roman" w:hAnsi="Times New Roman" w:cs="Times New Roman"/>
                <w:bCs/>
              </w:rPr>
              <w:t>Podupiranje ulaganja za prilagodbu na klimatske promjene, uključujući pristupe temeljene na ekosustavu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5a1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Poboljšanje praćenja</w:t>
            </w:r>
            <w:r w:rsidR="003E41EE" w:rsidRPr="006233D3">
              <w:rPr>
                <w:rFonts w:ascii="Times New Roman" w:eastAsia="Calibri" w:hAnsi="Times New Roman" w:cs="Times New Roman"/>
                <w:bCs/>
              </w:rPr>
              <w:t>,</w:t>
            </w:r>
            <w:r w:rsidRPr="006233D3">
              <w:rPr>
                <w:rFonts w:ascii="Times New Roman" w:eastAsia="Calibri" w:hAnsi="Times New Roman" w:cs="Times New Roman"/>
                <w:bCs/>
              </w:rPr>
              <w:t>predviđanja</w:t>
            </w:r>
            <w:r w:rsidR="003E41EE" w:rsidRPr="006233D3">
              <w:rPr>
                <w:rFonts w:ascii="Times New Roman" w:eastAsia="Calibri" w:hAnsi="Times New Roman" w:cs="Times New Roman"/>
                <w:bCs/>
              </w:rPr>
              <w:t xml:space="preserve"> i planiranja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3E41EE" w:rsidRPr="006233D3">
              <w:rPr>
                <w:rFonts w:ascii="Times New Roman" w:eastAsia="Calibri" w:hAnsi="Times New Roman" w:cs="Times New Roman"/>
                <w:bCs/>
              </w:rPr>
              <w:t>mjera prilagodbe klimatskim promjenama</w:t>
            </w:r>
          </w:p>
        </w:tc>
        <w:tc>
          <w:tcPr>
            <w:tcW w:w="1701" w:type="dxa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zaštite okoliša i prirode</w:t>
            </w:r>
          </w:p>
        </w:tc>
        <w:tc>
          <w:tcPr>
            <w:tcW w:w="1638" w:type="dxa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Fond za zaštitu okoliša i energetsku učinkovitost</w:t>
            </w:r>
          </w:p>
        </w:tc>
      </w:tr>
      <w:tr w:rsidR="009851AF" w:rsidRPr="006233D3" w:rsidTr="0070295E">
        <w:trPr>
          <w:trHeight w:val="919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Align w:val="center"/>
          </w:tcPr>
          <w:p w:rsidR="009851AF" w:rsidRPr="00455444" w:rsidRDefault="00455444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55444">
              <w:rPr>
                <w:rFonts w:ascii="Times New Roman" w:eastAsia="Times New Roman" w:hAnsi="Times New Roman" w:cs="Times New Roman"/>
                <w:bCs/>
                <w:lang w:eastAsia="lt-LT"/>
              </w:rPr>
              <w:t>Promicanje ulaganja koja se odnose na posebne rizike, osiguranje otpornosti na katastrofe i razvoj sustava za upravljanje katastrofama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5b1</w:t>
            </w:r>
          </w:p>
        </w:tc>
        <w:tc>
          <w:tcPr>
            <w:tcW w:w="3827" w:type="dxa"/>
            <w:hideMark/>
          </w:tcPr>
          <w:p w:rsidR="009851AF" w:rsidRPr="006233D3" w:rsidRDefault="003E41EE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Jačanje sustava upravljanja katastrofama</w:t>
            </w:r>
          </w:p>
        </w:tc>
        <w:tc>
          <w:tcPr>
            <w:tcW w:w="1701" w:type="dxa"/>
            <w:noWrap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poljoprivrede</w:t>
            </w:r>
          </w:p>
        </w:tc>
        <w:tc>
          <w:tcPr>
            <w:tcW w:w="1638" w:type="dxa"/>
            <w:noWrap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Hrvatske vode</w:t>
            </w:r>
          </w:p>
        </w:tc>
      </w:tr>
      <w:tr w:rsidR="009851AF" w:rsidRPr="006233D3" w:rsidTr="0070295E">
        <w:trPr>
          <w:trHeight w:val="618"/>
        </w:trPr>
        <w:tc>
          <w:tcPr>
            <w:tcW w:w="1949" w:type="dxa"/>
            <w:vMerge w:val="restart"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lastRenderedPageBreak/>
              <w:t>6. Zaštita okoliša i održivost resursa</w:t>
            </w:r>
          </w:p>
        </w:tc>
        <w:tc>
          <w:tcPr>
            <w:tcW w:w="3829" w:type="dxa"/>
            <w:vMerge w:val="restart"/>
            <w:vAlign w:val="center"/>
          </w:tcPr>
          <w:p w:rsidR="009851AF" w:rsidRPr="006233D3" w:rsidRDefault="008A7922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Očuvanje, zaštita, promicanje i razvoj prirodne i kulturne baštine 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6c1</w:t>
            </w:r>
          </w:p>
        </w:tc>
        <w:tc>
          <w:tcPr>
            <w:tcW w:w="3827" w:type="dxa"/>
            <w:hideMark/>
          </w:tcPr>
          <w:p w:rsidR="009851AF" w:rsidRPr="006233D3" w:rsidRDefault="00FE1FD7" w:rsidP="0026701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Povećanje </w:t>
            </w:r>
            <w:r w:rsidR="003E41EE" w:rsidRPr="006233D3">
              <w:rPr>
                <w:rFonts w:ascii="Times New Roman" w:eastAsia="Calibri" w:hAnsi="Times New Roman" w:cs="Times New Roman"/>
                <w:bCs/>
              </w:rPr>
              <w:t>zapošljavanja</w:t>
            </w:r>
            <w:r w:rsidR="00E17FF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i turističkih izdataka kroz </w:t>
            </w:r>
            <w:r w:rsidR="0026701C" w:rsidRPr="006233D3">
              <w:rPr>
                <w:rFonts w:ascii="Times New Roman" w:eastAsia="Calibri" w:hAnsi="Times New Roman" w:cs="Times New Roman"/>
                <w:bCs/>
              </w:rPr>
              <w:t>unaprjeđenje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kulturn</w:t>
            </w:r>
            <w:r w:rsidR="0026701C" w:rsidRPr="006233D3">
              <w:rPr>
                <w:rFonts w:ascii="Times New Roman" w:eastAsia="Calibri" w:hAnsi="Times New Roman" w:cs="Times New Roman"/>
                <w:bCs/>
              </w:rPr>
              <w:t>e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baštin</w:t>
            </w:r>
            <w:r w:rsidR="0026701C" w:rsidRPr="006233D3">
              <w:rPr>
                <w:rFonts w:ascii="Times New Roman" w:eastAsia="Calibri" w:hAnsi="Times New Roman" w:cs="Times New Roman"/>
                <w:bCs/>
              </w:rPr>
              <w:t>e</w:t>
            </w:r>
          </w:p>
        </w:tc>
        <w:tc>
          <w:tcPr>
            <w:tcW w:w="1701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regionalnoga razvoja i fondova Europske unije</w:t>
            </w:r>
          </w:p>
        </w:tc>
        <w:tc>
          <w:tcPr>
            <w:tcW w:w="1638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Središnja agencija za financiranje i ugovaranje programa i projekata Europske unije</w:t>
            </w:r>
          </w:p>
        </w:tc>
      </w:tr>
      <w:tr w:rsidR="009851AF" w:rsidRPr="006233D3" w:rsidTr="0070295E">
        <w:trPr>
          <w:trHeight w:val="797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  <w:vAlign w:val="center"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6c2</w:t>
            </w:r>
          </w:p>
        </w:tc>
        <w:tc>
          <w:tcPr>
            <w:tcW w:w="3827" w:type="dxa"/>
            <w:hideMark/>
          </w:tcPr>
          <w:p w:rsidR="009851AF" w:rsidRPr="006233D3" w:rsidRDefault="00FE1FD7" w:rsidP="0026701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Povećanje </w:t>
            </w:r>
            <w:r w:rsidR="0026701C" w:rsidRPr="006233D3">
              <w:rPr>
                <w:rFonts w:ascii="Times New Roman" w:eastAsia="Calibri" w:hAnsi="Times New Roman" w:cs="Times New Roman"/>
                <w:bCs/>
              </w:rPr>
              <w:t>atraktivnosti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="0026701C" w:rsidRPr="006233D3">
              <w:rPr>
                <w:rFonts w:ascii="Times New Roman" w:eastAsia="Calibri" w:hAnsi="Times New Roman" w:cs="Times New Roman"/>
                <w:bCs/>
              </w:rPr>
              <w:t xml:space="preserve">edukativnog </w:t>
            </w:r>
            <w:r w:rsidRPr="006233D3">
              <w:rPr>
                <w:rFonts w:ascii="Times New Roman" w:eastAsia="Calibri" w:hAnsi="Times New Roman" w:cs="Times New Roman"/>
                <w:bCs/>
              </w:rPr>
              <w:t>kapaciteta i održivog upravljanja odredištima prirodne baštine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705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9851AF" w:rsidRPr="006233D3" w:rsidRDefault="008A7922" w:rsidP="007E49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Aktivnosti kojima se poboljšava urbani okoliš, revitalizacija gradova, obnova i dekontaminacija nekadašnjeg industrijskog zemljišta (uključujući prenamijenjena područja), smanjenje zagađenja zraka i promicanje mjera za smanjenje buke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6e1</w:t>
            </w:r>
          </w:p>
        </w:tc>
        <w:tc>
          <w:tcPr>
            <w:tcW w:w="3827" w:type="dxa"/>
            <w:hideMark/>
          </w:tcPr>
          <w:p w:rsidR="009851AF" w:rsidRPr="006233D3" w:rsidRDefault="0026701C" w:rsidP="0026701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Poboljšanje </w:t>
            </w:r>
            <w:r w:rsidR="00FE1FD7" w:rsidRPr="006233D3">
              <w:rPr>
                <w:rFonts w:ascii="Times New Roman" w:eastAsia="Calibri" w:hAnsi="Times New Roman" w:cs="Times New Roman"/>
                <w:bCs/>
              </w:rPr>
              <w:t>sustav</w:t>
            </w:r>
            <w:r w:rsidRPr="006233D3">
              <w:rPr>
                <w:rFonts w:ascii="Times New Roman" w:eastAsia="Calibri" w:hAnsi="Times New Roman" w:cs="Times New Roman"/>
                <w:bCs/>
              </w:rPr>
              <w:t>a</w:t>
            </w:r>
            <w:r w:rsidR="00FE1FD7" w:rsidRPr="006233D3">
              <w:rPr>
                <w:rFonts w:ascii="Times New Roman" w:eastAsia="Calibri" w:hAnsi="Times New Roman" w:cs="Times New Roman"/>
                <w:bCs/>
              </w:rPr>
              <w:t xml:space="preserve"> upravljanja i praćenja 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kvalitete </w:t>
            </w:r>
            <w:r w:rsidR="00FE1FD7" w:rsidRPr="006233D3">
              <w:rPr>
                <w:rFonts w:ascii="Times New Roman" w:eastAsia="Calibri" w:hAnsi="Times New Roman" w:cs="Times New Roman"/>
                <w:bCs/>
              </w:rPr>
              <w:t>zraka sukladno Uredbi 2008/50/</w:t>
            </w:r>
            <w:r w:rsidRPr="006233D3">
              <w:rPr>
                <w:rFonts w:ascii="Times New Roman" w:eastAsia="Calibri" w:hAnsi="Times New Roman" w:cs="Times New Roman"/>
                <w:bCs/>
              </w:rPr>
              <w:t>EZ</w:t>
            </w:r>
          </w:p>
        </w:tc>
        <w:tc>
          <w:tcPr>
            <w:tcW w:w="1701" w:type="dxa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zaštite okoliša i prirode</w:t>
            </w:r>
          </w:p>
        </w:tc>
        <w:tc>
          <w:tcPr>
            <w:tcW w:w="1638" w:type="dxa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Fond za zaštitu okoliša i energetsku učinkovitost</w:t>
            </w:r>
          </w:p>
        </w:tc>
      </w:tr>
      <w:tr w:rsidR="009851AF" w:rsidRPr="006233D3" w:rsidTr="0070295E">
        <w:trPr>
          <w:trHeight w:val="775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  <w:vAlign w:val="center"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6e2</w:t>
            </w:r>
          </w:p>
        </w:tc>
        <w:tc>
          <w:tcPr>
            <w:tcW w:w="3827" w:type="dxa"/>
            <w:hideMark/>
          </w:tcPr>
          <w:p w:rsidR="00FE1FD7" w:rsidRPr="006233D3" w:rsidRDefault="00FE1FD7" w:rsidP="00FE1FD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Obnova </w:t>
            </w:r>
            <w:proofErr w:type="spellStart"/>
            <w:r w:rsidRPr="006233D3">
              <w:rPr>
                <w:rFonts w:ascii="Times New Roman" w:eastAsia="Calibri" w:hAnsi="Times New Roman" w:cs="Times New Roman"/>
                <w:bCs/>
              </w:rPr>
              <w:t>brownfield</w:t>
            </w:r>
            <w:proofErr w:type="spellEnd"/>
            <w:r w:rsidRPr="006233D3">
              <w:rPr>
                <w:rFonts w:ascii="Times New Roman" w:eastAsia="Calibri" w:hAnsi="Times New Roman" w:cs="Times New Roman"/>
                <w:bCs/>
              </w:rPr>
              <w:t xml:space="preserve"> lokacija (bivša vojna i</w:t>
            </w:r>
            <w:r w:rsidR="0026701C" w:rsidRPr="006233D3">
              <w:rPr>
                <w:rFonts w:ascii="Times New Roman" w:eastAsia="Calibri" w:hAnsi="Times New Roman" w:cs="Times New Roman"/>
                <w:bCs/>
              </w:rPr>
              <w:t>/ili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industrijska područja) unutar ITU</w:t>
            </w:r>
          </w:p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regionalnoga razvoja i fondova Europske unije</w:t>
            </w:r>
          </w:p>
        </w:tc>
        <w:tc>
          <w:tcPr>
            <w:tcW w:w="1638" w:type="dxa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Središnja agencija za financiranje i ugovaranje programa i projekata Europske unije</w:t>
            </w:r>
          </w:p>
        </w:tc>
      </w:tr>
      <w:tr w:rsidR="009851AF" w:rsidRPr="006233D3" w:rsidTr="0070295E">
        <w:trPr>
          <w:trHeight w:val="607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Align w:val="center"/>
          </w:tcPr>
          <w:p w:rsidR="009851AF" w:rsidRPr="006233D3" w:rsidRDefault="008A7922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Ulaganje u sektor otpada kako bi se ispunili zahtjevi pravne stečevine Unije u području okoliša i zadovoljile potrebe koje su utvrdile države članice za ulaganjem koje nadilazi te zahtjeve </w:t>
            </w:r>
          </w:p>
          <w:p w:rsidR="009851AF" w:rsidRPr="006233D3" w:rsidRDefault="009851AF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6i1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Smanjena količina otpada koji se odlaže na odlagališta</w:t>
            </w:r>
          </w:p>
        </w:tc>
        <w:tc>
          <w:tcPr>
            <w:tcW w:w="1701" w:type="dxa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zaštite okoliša i prirode</w:t>
            </w:r>
          </w:p>
        </w:tc>
        <w:tc>
          <w:tcPr>
            <w:tcW w:w="1638" w:type="dxa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Fond za zaštitu okoliša i energetsku učinkovitost</w:t>
            </w:r>
          </w:p>
        </w:tc>
      </w:tr>
      <w:tr w:rsidR="009851AF" w:rsidRPr="006233D3" w:rsidTr="0070295E">
        <w:trPr>
          <w:trHeight w:val="930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9851AF" w:rsidRPr="00455444" w:rsidRDefault="00455444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55444">
              <w:rPr>
                <w:rFonts w:ascii="Times New Roman" w:eastAsia="Times New Roman" w:hAnsi="Times New Roman" w:cs="Times New Roman"/>
                <w:bCs/>
                <w:color w:val="000000"/>
                <w:lang w:eastAsia="el-GR"/>
              </w:rPr>
              <w:t xml:space="preserve">Ulaganje u vodni sektor kako bi se ispunili zahtjevi pravne stečevine Unije u području okoliša i zadovoljile potrebe koje su utvrdile države članice za ulaganjem koje nadilazi te zahtjeve  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6ii1</w:t>
            </w:r>
          </w:p>
        </w:tc>
        <w:tc>
          <w:tcPr>
            <w:tcW w:w="3827" w:type="dxa"/>
            <w:hideMark/>
          </w:tcPr>
          <w:p w:rsidR="009851AF" w:rsidRPr="006233D3" w:rsidRDefault="0026701C" w:rsidP="0026701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Unaprjeđenje </w:t>
            </w:r>
            <w:r w:rsidR="00FE1FD7" w:rsidRPr="006233D3">
              <w:rPr>
                <w:rFonts w:ascii="Times New Roman" w:eastAsia="Calibri" w:hAnsi="Times New Roman" w:cs="Times New Roman"/>
                <w:bCs/>
              </w:rPr>
              <w:t>javnog vodoopskrbnog sustava u svrhu  osiguranja kvalitete i sigurnosti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usluga</w:t>
            </w:r>
            <w:r w:rsidR="00FE1FD7" w:rsidRPr="006233D3">
              <w:rPr>
                <w:rFonts w:ascii="Times New Roman" w:eastAsia="Calibri" w:hAnsi="Times New Roman" w:cs="Times New Roman"/>
                <w:bCs/>
              </w:rPr>
              <w:t xml:space="preserve"> opskrbe </w:t>
            </w:r>
            <w:r w:rsidRPr="006233D3">
              <w:rPr>
                <w:rFonts w:ascii="Times New Roman" w:eastAsia="Calibri" w:hAnsi="Times New Roman" w:cs="Times New Roman"/>
                <w:bCs/>
              </w:rPr>
              <w:t>pitkom vodom</w:t>
            </w:r>
          </w:p>
        </w:tc>
        <w:tc>
          <w:tcPr>
            <w:tcW w:w="1701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poljoprivrede</w:t>
            </w:r>
          </w:p>
        </w:tc>
        <w:tc>
          <w:tcPr>
            <w:tcW w:w="1638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Hrvatske vode</w:t>
            </w:r>
          </w:p>
        </w:tc>
      </w:tr>
      <w:tr w:rsidR="009851AF" w:rsidRPr="006233D3" w:rsidTr="0070295E">
        <w:trPr>
          <w:trHeight w:val="851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  <w:vAlign w:val="center"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6ii2</w:t>
            </w:r>
          </w:p>
        </w:tc>
        <w:tc>
          <w:tcPr>
            <w:tcW w:w="3827" w:type="dxa"/>
            <w:hideMark/>
          </w:tcPr>
          <w:p w:rsidR="009851AF" w:rsidRPr="006233D3" w:rsidRDefault="00FE1FD7" w:rsidP="0026701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Razvoj sustava prikupljanja i </w:t>
            </w:r>
            <w:r w:rsidR="0026701C" w:rsidRPr="006233D3">
              <w:rPr>
                <w:rFonts w:ascii="Times New Roman" w:eastAsia="Calibri" w:hAnsi="Times New Roman" w:cs="Times New Roman"/>
                <w:bCs/>
              </w:rPr>
              <w:t xml:space="preserve">obrade </w:t>
            </w:r>
            <w:r w:rsidRPr="006233D3">
              <w:rPr>
                <w:rFonts w:ascii="Times New Roman" w:eastAsia="Calibri" w:hAnsi="Times New Roman" w:cs="Times New Roman"/>
                <w:bCs/>
              </w:rPr>
              <w:t>otpadnih voda s ciljem doprinosa poboljšanju stanja voda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737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9851AF" w:rsidRPr="00455444" w:rsidRDefault="00455444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55444">
              <w:rPr>
                <w:rFonts w:ascii="Times New Roman" w:eastAsia="Times New Roman" w:hAnsi="Times New Roman" w:cs="Times New Roman"/>
                <w:bCs/>
                <w:lang w:eastAsia="lt-LT"/>
              </w:rPr>
              <w:t>Zaštita i obnova biološke raznolikosti i tla te promicanje eko usluga, uključujući NATURA 2000 i „zelenu“ infrastrukturu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6iii1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Poboljšano znanje o stanju </w:t>
            </w:r>
            <w:proofErr w:type="spellStart"/>
            <w:r w:rsidRPr="006233D3">
              <w:rPr>
                <w:rFonts w:ascii="Times New Roman" w:eastAsia="Calibri" w:hAnsi="Times New Roman" w:cs="Times New Roman"/>
                <w:bCs/>
              </w:rPr>
              <w:t>bioraznolikosti</w:t>
            </w:r>
            <w:proofErr w:type="spellEnd"/>
            <w:r w:rsidRPr="006233D3">
              <w:rPr>
                <w:rFonts w:ascii="Times New Roman" w:eastAsia="Calibri" w:hAnsi="Times New Roman" w:cs="Times New Roman"/>
                <w:bCs/>
              </w:rPr>
              <w:t xml:space="preserve"> kao temelj</w:t>
            </w:r>
            <w:r w:rsidR="0026701C" w:rsidRPr="006233D3">
              <w:rPr>
                <w:rFonts w:ascii="Times New Roman" w:eastAsia="Calibri" w:hAnsi="Times New Roman" w:cs="Times New Roman"/>
                <w:bCs/>
              </w:rPr>
              <w:t>a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za učinkovito praćenje i upravljanje </w:t>
            </w:r>
            <w:proofErr w:type="spellStart"/>
            <w:r w:rsidRPr="006233D3">
              <w:rPr>
                <w:rFonts w:ascii="Times New Roman" w:eastAsia="Calibri" w:hAnsi="Times New Roman" w:cs="Times New Roman"/>
                <w:bCs/>
              </w:rPr>
              <w:t>bioraznolikošću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zaštite okoliša i prirode</w:t>
            </w:r>
          </w:p>
        </w:tc>
        <w:tc>
          <w:tcPr>
            <w:tcW w:w="1638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Fond za zaštitu okoliša i energetsku učinkovitost</w:t>
            </w:r>
          </w:p>
        </w:tc>
      </w:tr>
      <w:tr w:rsidR="009851AF" w:rsidRPr="006233D3" w:rsidTr="0070295E">
        <w:trPr>
          <w:trHeight w:val="651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6iii2</w:t>
            </w:r>
          </w:p>
        </w:tc>
        <w:tc>
          <w:tcPr>
            <w:tcW w:w="3827" w:type="dxa"/>
            <w:hideMark/>
          </w:tcPr>
          <w:p w:rsidR="009851AF" w:rsidRPr="006233D3" w:rsidRDefault="00FE1FD7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Uspostava okvira za održivo upravljanje </w:t>
            </w:r>
            <w:proofErr w:type="spellStart"/>
            <w:r w:rsidRPr="006233D3">
              <w:rPr>
                <w:rFonts w:ascii="Times New Roman" w:eastAsia="Calibri" w:hAnsi="Times New Roman" w:cs="Times New Roman"/>
                <w:bCs/>
              </w:rPr>
              <w:t>bioraznolikošću</w:t>
            </w:r>
            <w:proofErr w:type="spellEnd"/>
            <w:r w:rsidRPr="006233D3">
              <w:rPr>
                <w:rFonts w:ascii="Times New Roman" w:eastAsia="Calibri" w:hAnsi="Times New Roman" w:cs="Times New Roman"/>
                <w:bCs/>
              </w:rPr>
              <w:t xml:space="preserve"> (primarno Natura 2000</w:t>
            </w:r>
            <w:r w:rsidR="009851AF" w:rsidRPr="006233D3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819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6iii3</w:t>
            </w:r>
          </w:p>
        </w:tc>
        <w:tc>
          <w:tcPr>
            <w:tcW w:w="3827" w:type="dxa"/>
            <w:hideMark/>
          </w:tcPr>
          <w:p w:rsidR="009851AF" w:rsidRPr="006233D3" w:rsidRDefault="00FE1FD7" w:rsidP="0026701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Razminiranje, obnova i zaštita šuma i šumskog zemljišta u zaštićenim</w:t>
            </w:r>
            <w:r w:rsidR="0026701C" w:rsidRPr="006233D3">
              <w:rPr>
                <w:rFonts w:ascii="Times New Roman" w:eastAsia="Calibri" w:hAnsi="Times New Roman" w:cs="Times New Roman"/>
                <w:bCs/>
              </w:rPr>
              <w:t xml:space="preserve"> i Natura 2000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područjima 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654"/>
        </w:trPr>
        <w:tc>
          <w:tcPr>
            <w:tcW w:w="1949" w:type="dxa"/>
            <w:vMerge w:val="restart"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7. Povezanost i mobilnost  </w:t>
            </w:r>
          </w:p>
        </w:tc>
        <w:tc>
          <w:tcPr>
            <w:tcW w:w="3829" w:type="dxa"/>
            <w:vAlign w:val="center"/>
          </w:tcPr>
          <w:p w:rsidR="009851AF" w:rsidRPr="006233D3" w:rsidRDefault="008A7922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Podupiranje </w:t>
            </w:r>
            <w:proofErr w:type="spellStart"/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multimodalnog</w:t>
            </w:r>
            <w:proofErr w:type="spellEnd"/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jedinstvenog europskog prometnog prostora ulaganjem u TEN–T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7a1</w:t>
            </w:r>
          </w:p>
        </w:tc>
        <w:tc>
          <w:tcPr>
            <w:tcW w:w="3827" w:type="dxa"/>
            <w:hideMark/>
          </w:tcPr>
          <w:p w:rsidR="009851AF" w:rsidRPr="006233D3" w:rsidRDefault="0026701C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Unaprjeđenje </w:t>
            </w:r>
            <w:r w:rsidR="00F5080B" w:rsidRPr="006233D3">
              <w:rPr>
                <w:rFonts w:ascii="Times New Roman" w:eastAsia="Calibri" w:hAnsi="Times New Roman" w:cs="Times New Roman"/>
                <w:bCs/>
              </w:rPr>
              <w:t>cestovne mreže TEN–T i pristupa cestovnoj mreži TEN–T</w:t>
            </w:r>
          </w:p>
        </w:tc>
        <w:tc>
          <w:tcPr>
            <w:tcW w:w="1701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pomorstva, prometa i infrastrukture</w:t>
            </w:r>
          </w:p>
        </w:tc>
        <w:tc>
          <w:tcPr>
            <w:tcW w:w="1638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pomorstva, prometa i infrastrukture</w:t>
            </w:r>
          </w:p>
        </w:tc>
      </w:tr>
      <w:tr w:rsidR="009851AF" w:rsidRPr="006233D3" w:rsidTr="0070295E">
        <w:trPr>
          <w:trHeight w:val="623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Align w:val="center"/>
          </w:tcPr>
          <w:p w:rsidR="009851AF" w:rsidRPr="006233D3" w:rsidRDefault="008A7922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Poboljšavanje regionalne mobilnosti povezivanjem sekundarnih i tercijarnih čvorišta s infrastrukturom TEN–T–a, uključujući </w:t>
            </w:r>
            <w:proofErr w:type="spellStart"/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multimodalna</w:t>
            </w:r>
            <w:proofErr w:type="spellEnd"/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čvorišta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7b1</w:t>
            </w:r>
          </w:p>
        </w:tc>
        <w:tc>
          <w:tcPr>
            <w:tcW w:w="3827" w:type="dxa"/>
            <w:hideMark/>
          </w:tcPr>
          <w:p w:rsidR="009851AF" w:rsidRPr="006233D3" w:rsidRDefault="0026701C" w:rsidP="0026701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Poboljšanje cestovne sigurnosti u dijelovima s visokom razinom mješovitog prometa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465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Align w:val="center"/>
          </w:tcPr>
          <w:p w:rsidR="009851AF" w:rsidRPr="006233D3" w:rsidRDefault="008A7922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Podupiranje </w:t>
            </w:r>
            <w:proofErr w:type="spellStart"/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multimodalnog</w:t>
            </w:r>
            <w:proofErr w:type="spellEnd"/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jedinstvenog europskog prometnog prostora ulaganjem u TEN–T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7i1</w:t>
            </w:r>
          </w:p>
        </w:tc>
        <w:tc>
          <w:tcPr>
            <w:tcW w:w="3827" w:type="dxa"/>
            <w:hideMark/>
          </w:tcPr>
          <w:p w:rsidR="009851AF" w:rsidRPr="006233D3" w:rsidRDefault="00F5080B" w:rsidP="0026701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Povećanje </w:t>
            </w:r>
            <w:r w:rsidR="0026701C" w:rsidRPr="006233D3">
              <w:rPr>
                <w:rFonts w:ascii="Times New Roman" w:eastAsia="Calibri" w:hAnsi="Times New Roman" w:cs="Times New Roman"/>
                <w:bCs/>
              </w:rPr>
              <w:t>teretnog prometa na unutarnjim vodnim putovima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403BB" w:rsidRPr="006233D3" w:rsidTr="0070295E">
        <w:trPr>
          <w:trHeight w:val="645"/>
        </w:trPr>
        <w:tc>
          <w:tcPr>
            <w:tcW w:w="1949" w:type="dxa"/>
            <w:vMerge/>
            <w:hideMark/>
          </w:tcPr>
          <w:p w:rsidR="003403BB" w:rsidRPr="006233D3" w:rsidRDefault="003403BB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3403BB" w:rsidRPr="006233D3" w:rsidRDefault="003403BB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Razvoj i unapređenje prometnih sustava prihvatljivih za okoliš (uključujući one s niskom razinom buke), i prometni sustavi sa niskim emisijama CO2, uključujući unutarnje plovne putove i pomorski prijevoz, luke, </w:t>
            </w:r>
            <w:proofErr w:type="spellStart"/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multimodalne</w:t>
            </w:r>
            <w:proofErr w:type="spellEnd"/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veze i aerodromsku infrastrukturu, radi promicanja održive regionalne i lokalne mobilnosti</w:t>
            </w:r>
          </w:p>
        </w:tc>
        <w:tc>
          <w:tcPr>
            <w:tcW w:w="1276" w:type="dxa"/>
            <w:noWrap/>
            <w:hideMark/>
          </w:tcPr>
          <w:p w:rsidR="003403BB" w:rsidRPr="006233D3" w:rsidRDefault="003403BB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7ii1</w:t>
            </w:r>
          </w:p>
        </w:tc>
        <w:tc>
          <w:tcPr>
            <w:tcW w:w="3827" w:type="dxa"/>
            <w:hideMark/>
          </w:tcPr>
          <w:p w:rsidR="003403BB" w:rsidRPr="006233D3" w:rsidRDefault="003403BB" w:rsidP="001D744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</w:t>
            </w:r>
            <w:r w:rsidRPr="006233D3">
              <w:rPr>
                <w:rFonts w:ascii="Times New Roman" w:eastAsia="Calibri" w:hAnsi="Times New Roman" w:cs="Times New Roman"/>
                <w:bCs/>
              </w:rPr>
              <w:t>oboljšanje dostupnosti naseljenih otoka za njihove stanovnika</w:t>
            </w:r>
          </w:p>
        </w:tc>
        <w:tc>
          <w:tcPr>
            <w:tcW w:w="1701" w:type="dxa"/>
            <w:vMerge/>
            <w:hideMark/>
          </w:tcPr>
          <w:p w:rsidR="003403BB" w:rsidRPr="006233D3" w:rsidRDefault="003403BB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3403BB" w:rsidRPr="006233D3" w:rsidRDefault="003403BB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403BB" w:rsidRPr="006233D3" w:rsidTr="0070295E">
        <w:trPr>
          <w:trHeight w:val="426"/>
        </w:trPr>
        <w:tc>
          <w:tcPr>
            <w:tcW w:w="1949" w:type="dxa"/>
            <w:vMerge/>
            <w:hideMark/>
          </w:tcPr>
          <w:p w:rsidR="003403BB" w:rsidRPr="006233D3" w:rsidRDefault="003403BB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</w:tcPr>
          <w:p w:rsidR="003403BB" w:rsidRPr="006233D3" w:rsidRDefault="003403BB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3403BB" w:rsidRPr="006233D3" w:rsidRDefault="003403BB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7ii2</w:t>
            </w:r>
          </w:p>
        </w:tc>
        <w:tc>
          <w:tcPr>
            <w:tcW w:w="3827" w:type="dxa"/>
            <w:hideMark/>
          </w:tcPr>
          <w:p w:rsidR="003403BB" w:rsidRPr="006233D3" w:rsidRDefault="003403BB" w:rsidP="001A18F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Povećanje broja putnika u javnom prijevozu</w:t>
            </w:r>
          </w:p>
        </w:tc>
        <w:tc>
          <w:tcPr>
            <w:tcW w:w="1701" w:type="dxa"/>
            <w:vMerge/>
            <w:hideMark/>
          </w:tcPr>
          <w:p w:rsidR="003403BB" w:rsidRPr="006233D3" w:rsidRDefault="003403BB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3403BB" w:rsidRPr="006233D3" w:rsidRDefault="003403BB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403BB" w:rsidRPr="006233D3" w:rsidTr="0070295E">
        <w:trPr>
          <w:trHeight w:val="333"/>
        </w:trPr>
        <w:tc>
          <w:tcPr>
            <w:tcW w:w="1949" w:type="dxa"/>
            <w:vMerge/>
            <w:hideMark/>
          </w:tcPr>
          <w:p w:rsidR="003403BB" w:rsidRPr="006233D3" w:rsidRDefault="003403BB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</w:tcPr>
          <w:p w:rsidR="003403BB" w:rsidRPr="006233D3" w:rsidRDefault="003403BB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3403BB" w:rsidRPr="006233D3" w:rsidRDefault="003403BB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7ii3</w:t>
            </w:r>
          </w:p>
        </w:tc>
        <w:tc>
          <w:tcPr>
            <w:tcW w:w="3827" w:type="dxa"/>
            <w:hideMark/>
          </w:tcPr>
          <w:p w:rsidR="003403BB" w:rsidRPr="006233D3" w:rsidRDefault="003403BB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Poboljšanje dostupnosti Dubrovnika zrakom</w:t>
            </w:r>
          </w:p>
        </w:tc>
        <w:tc>
          <w:tcPr>
            <w:tcW w:w="1701" w:type="dxa"/>
            <w:vMerge/>
            <w:hideMark/>
          </w:tcPr>
          <w:p w:rsidR="003403BB" w:rsidRPr="006233D3" w:rsidRDefault="003403BB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3403BB" w:rsidRPr="006233D3" w:rsidRDefault="003403BB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553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</w:tcPr>
          <w:p w:rsidR="009851AF" w:rsidRPr="006233D3" w:rsidRDefault="008A7922" w:rsidP="007E49A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Razvoj i obnova sveobuhvatnih, visokokvalitetnih i </w:t>
            </w:r>
            <w:proofErr w:type="spellStart"/>
            <w:r w:rsidRPr="006233D3">
              <w:rPr>
                <w:rFonts w:ascii="Times New Roman" w:eastAsia="Calibri" w:hAnsi="Times New Roman" w:cs="Times New Roman"/>
                <w:bCs/>
              </w:rPr>
              <w:t>interoperabilnih</w:t>
            </w:r>
            <w:proofErr w:type="spellEnd"/>
            <w:r w:rsidRPr="006233D3">
              <w:rPr>
                <w:rFonts w:ascii="Times New Roman" w:eastAsia="Calibri" w:hAnsi="Times New Roman" w:cs="Times New Roman"/>
                <w:bCs/>
              </w:rPr>
              <w:t xml:space="preserve"> željezničkih sustava te promicanje mjera za smanjenje buke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7iii1</w:t>
            </w:r>
          </w:p>
        </w:tc>
        <w:tc>
          <w:tcPr>
            <w:tcW w:w="3827" w:type="dxa"/>
            <w:hideMark/>
          </w:tcPr>
          <w:p w:rsidR="009851AF" w:rsidRPr="006233D3" w:rsidRDefault="00F5080B" w:rsidP="0026701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Povećanje </w:t>
            </w:r>
            <w:r w:rsidR="0026701C" w:rsidRPr="006233D3">
              <w:rPr>
                <w:rFonts w:ascii="Times New Roman" w:eastAsia="Calibri" w:hAnsi="Times New Roman" w:cs="Times New Roman"/>
                <w:bCs/>
              </w:rPr>
              <w:t xml:space="preserve">uporabe </w:t>
            </w:r>
            <w:r w:rsidRPr="006233D3">
              <w:rPr>
                <w:rFonts w:ascii="Times New Roman" w:eastAsia="Calibri" w:hAnsi="Times New Roman" w:cs="Times New Roman"/>
                <w:bCs/>
              </w:rPr>
              <w:t>i važnosti željezničke mreže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870"/>
        </w:trPr>
        <w:tc>
          <w:tcPr>
            <w:tcW w:w="1949" w:type="dxa"/>
            <w:vMerge w:val="restart"/>
            <w:hideMark/>
          </w:tcPr>
          <w:p w:rsidR="009851AF" w:rsidRPr="006233D3" w:rsidRDefault="00E93FE1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8</w:t>
            </w:r>
            <w:r w:rsidR="009851AF" w:rsidRPr="006233D3">
              <w:rPr>
                <w:rFonts w:ascii="Times New Roman" w:eastAsia="Calibri" w:hAnsi="Times New Roman" w:cs="Times New Roman"/>
                <w:bCs/>
              </w:rPr>
              <w:t>. Socijalno uključivanje i zdravlje</w:t>
            </w:r>
          </w:p>
        </w:tc>
        <w:tc>
          <w:tcPr>
            <w:tcW w:w="3829" w:type="dxa"/>
            <w:vMerge w:val="restart"/>
            <w:vAlign w:val="center"/>
          </w:tcPr>
          <w:p w:rsidR="009851AF" w:rsidRPr="006233D3" w:rsidRDefault="008A7922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Ulaganje u zdravstvenu i socijalnu infrastrukturu što pridonosi nacionalnom, regionalnom i lokalnom razvoju, smanjujući nejednakosti u smislu zdravstvenog statusa, promičući socijalnu uključenost, kulturne i rekreativne usluge te prelazak s institucionalne skrbi na skrb u zajednici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9a1</w:t>
            </w:r>
          </w:p>
        </w:tc>
        <w:tc>
          <w:tcPr>
            <w:tcW w:w="3827" w:type="dxa"/>
            <w:hideMark/>
          </w:tcPr>
          <w:p w:rsidR="009851AF" w:rsidRPr="006233D3" w:rsidRDefault="00F5080B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Poboljšanje pristupa primarnoj i hitnoj zdravstvenoj zaštiti, s fokusom na udaljena i  deprivirana područja</w:t>
            </w:r>
          </w:p>
        </w:tc>
        <w:tc>
          <w:tcPr>
            <w:tcW w:w="1701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regionalnoga razvoja i fondova Europske unije</w:t>
            </w:r>
          </w:p>
        </w:tc>
        <w:tc>
          <w:tcPr>
            <w:tcW w:w="1638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Središnja agencija za financiranje i ugovaranje programa i projekata Europske unije</w:t>
            </w:r>
          </w:p>
        </w:tc>
      </w:tr>
      <w:tr w:rsidR="009851AF" w:rsidRPr="006233D3" w:rsidTr="0070295E">
        <w:trPr>
          <w:trHeight w:val="565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  <w:vAlign w:val="center"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9a2</w:t>
            </w:r>
          </w:p>
        </w:tc>
        <w:tc>
          <w:tcPr>
            <w:tcW w:w="3827" w:type="dxa"/>
            <w:hideMark/>
          </w:tcPr>
          <w:p w:rsidR="009851AF" w:rsidRPr="006233D3" w:rsidRDefault="00F5080B" w:rsidP="0026701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Poboljšanje </w:t>
            </w:r>
            <w:r w:rsidR="0026701C" w:rsidRPr="006233D3">
              <w:rPr>
                <w:rFonts w:ascii="Times New Roman" w:eastAsia="Calibri" w:hAnsi="Times New Roman" w:cs="Times New Roman"/>
                <w:bCs/>
              </w:rPr>
              <w:t xml:space="preserve">učinkovitosti 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i </w:t>
            </w:r>
            <w:r w:rsidR="0026701C" w:rsidRPr="006233D3">
              <w:rPr>
                <w:rFonts w:ascii="Times New Roman" w:eastAsia="Calibri" w:hAnsi="Times New Roman" w:cs="Times New Roman"/>
                <w:bCs/>
              </w:rPr>
              <w:t>dostupnosti bolničkog liječenja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6233D3">
        <w:trPr>
          <w:trHeight w:val="293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  <w:vAlign w:val="center"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9a3</w:t>
            </w:r>
          </w:p>
        </w:tc>
        <w:tc>
          <w:tcPr>
            <w:tcW w:w="3827" w:type="dxa"/>
            <w:hideMark/>
          </w:tcPr>
          <w:p w:rsidR="009851AF" w:rsidRPr="006233D3" w:rsidRDefault="00F5080B" w:rsidP="0026701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Promicanje socijalne uključenosti i smanjenje nejednakosti </w:t>
            </w:r>
            <w:r w:rsidR="0026701C" w:rsidRPr="006233D3">
              <w:rPr>
                <w:rFonts w:ascii="Times New Roman" w:eastAsia="Calibri" w:hAnsi="Times New Roman" w:cs="Times New Roman"/>
                <w:bCs/>
              </w:rPr>
              <w:t>kroz poboljšani pristup socijalnim uslugama te prelazak s institucionalne skrbi na skrb u zajednici putem poboljšane socijalne infrastrukture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3403BB">
        <w:trPr>
          <w:trHeight w:val="293"/>
        </w:trPr>
        <w:tc>
          <w:tcPr>
            <w:tcW w:w="1949" w:type="dxa"/>
            <w:vMerge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  <w:vAlign w:val="center"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9a4</w:t>
            </w:r>
          </w:p>
        </w:tc>
        <w:tc>
          <w:tcPr>
            <w:tcW w:w="3827" w:type="dxa"/>
          </w:tcPr>
          <w:p w:rsidR="009851AF" w:rsidRPr="006233D3" w:rsidRDefault="0026701C" w:rsidP="00E93FE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Provedba pilot aktivnosti koje imaju za cilj promociju socijalne uključenosti i smanjenje siromaštva ratnih veterana i </w:t>
            </w:r>
            <w:r w:rsidRPr="006233D3">
              <w:rPr>
                <w:rFonts w:ascii="Times New Roman" w:eastAsia="Calibri" w:hAnsi="Times New Roman" w:cs="Times New Roman"/>
                <w:bCs/>
              </w:rPr>
              <w:lastRenderedPageBreak/>
              <w:t>civilnih žrtava Domovinskog rata</w:t>
            </w:r>
          </w:p>
        </w:tc>
        <w:tc>
          <w:tcPr>
            <w:tcW w:w="1701" w:type="dxa"/>
            <w:vMerge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975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Align w:val="center"/>
          </w:tcPr>
          <w:p w:rsidR="009851AF" w:rsidRPr="006233D3" w:rsidRDefault="008A7922" w:rsidP="003E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Pružanje podrške fizičkoj, gospodarskoj i socijalnoj obnovi ugroženih zajednica</w:t>
            </w:r>
            <w:r w:rsidR="008F749E"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 urbanim i ruralnim područjima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9b1</w:t>
            </w:r>
          </w:p>
        </w:tc>
        <w:tc>
          <w:tcPr>
            <w:tcW w:w="3827" w:type="dxa"/>
            <w:hideMark/>
          </w:tcPr>
          <w:p w:rsidR="009851AF" w:rsidRPr="006233D3" w:rsidRDefault="00F5080B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Održiva fizička, socijalna i gospodarska regeneracija pet depriviranih pilot područja s ciljem smanjenja socijalnih nejednakosti, isključenosti i siromaštva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1185"/>
        </w:trPr>
        <w:tc>
          <w:tcPr>
            <w:tcW w:w="1949" w:type="dxa"/>
            <w:vMerge w:val="restart"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9. Obrazovanje, vještine i </w:t>
            </w:r>
            <w:proofErr w:type="spellStart"/>
            <w:r w:rsidRPr="006233D3">
              <w:rPr>
                <w:rFonts w:ascii="Times New Roman" w:eastAsia="Calibri" w:hAnsi="Times New Roman" w:cs="Times New Roman"/>
                <w:bCs/>
              </w:rPr>
              <w:t>cjeloživotno</w:t>
            </w:r>
            <w:proofErr w:type="spellEnd"/>
            <w:r w:rsidRPr="006233D3">
              <w:rPr>
                <w:rFonts w:ascii="Times New Roman" w:eastAsia="Calibri" w:hAnsi="Times New Roman" w:cs="Times New Roman"/>
                <w:bCs/>
              </w:rPr>
              <w:t xml:space="preserve"> učenje</w:t>
            </w:r>
          </w:p>
        </w:tc>
        <w:tc>
          <w:tcPr>
            <w:tcW w:w="3829" w:type="dxa"/>
            <w:vMerge w:val="restart"/>
          </w:tcPr>
          <w:p w:rsidR="009851AF" w:rsidRPr="006233D3" w:rsidRDefault="008F749E" w:rsidP="003D6B4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Ulaganje u obrazovanje, vještine i </w:t>
            </w:r>
            <w:proofErr w:type="spellStart"/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cjeloživotno</w:t>
            </w:r>
            <w:proofErr w:type="spellEnd"/>
            <w:r w:rsidRPr="00623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učenje kroz razvoj infrastrukture za obrazovanje i osposobljavanje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10a1</w:t>
            </w:r>
          </w:p>
        </w:tc>
        <w:tc>
          <w:tcPr>
            <w:tcW w:w="3827" w:type="dxa"/>
            <w:hideMark/>
          </w:tcPr>
          <w:p w:rsidR="009851AF" w:rsidRPr="006233D3" w:rsidRDefault="00F5080B" w:rsidP="008F6E8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Razvoj digitalno zrelih škola koje su spremne za korištenje potencijala informacijsko komunikacijske tehnologije u obrazovanju i razvoju vještina za 21. stoljeće, </w:t>
            </w:r>
            <w:r w:rsidR="008F6E85" w:rsidRPr="006233D3">
              <w:rPr>
                <w:rFonts w:ascii="Times New Roman" w:eastAsia="Calibri" w:hAnsi="Times New Roman" w:cs="Times New Roman"/>
                <w:bCs/>
              </w:rPr>
              <w:t xml:space="preserve">potrebnih </w:t>
            </w:r>
            <w:r w:rsidRPr="006233D3">
              <w:rPr>
                <w:rFonts w:ascii="Times New Roman" w:eastAsia="Calibri" w:hAnsi="Times New Roman" w:cs="Times New Roman"/>
                <w:bCs/>
              </w:rPr>
              <w:t>na tržištu rada</w:t>
            </w:r>
          </w:p>
        </w:tc>
        <w:tc>
          <w:tcPr>
            <w:tcW w:w="1701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Ministarstvo regionalnoga razvoja i fondova Europske unije</w:t>
            </w:r>
          </w:p>
        </w:tc>
        <w:tc>
          <w:tcPr>
            <w:tcW w:w="1638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Središnja agencija za financiranje i ugovaranje programa i projekata Europske unije</w:t>
            </w:r>
          </w:p>
        </w:tc>
      </w:tr>
      <w:tr w:rsidR="009851AF" w:rsidRPr="006233D3" w:rsidTr="0070295E">
        <w:trPr>
          <w:trHeight w:val="1275"/>
        </w:trPr>
        <w:tc>
          <w:tcPr>
            <w:tcW w:w="1949" w:type="dxa"/>
            <w:vMerge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10a2</w:t>
            </w:r>
          </w:p>
        </w:tc>
        <w:tc>
          <w:tcPr>
            <w:tcW w:w="3827" w:type="dxa"/>
            <w:hideMark/>
          </w:tcPr>
          <w:p w:rsidR="009851AF" w:rsidRPr="006233D3" w:rsidRDefault="00F5080B" w:rsidP="008F6E8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Modernizacija, unaprjeđenje i </w:t>
            </w:r>
            <w:r w:rsidR="008F6E85" w:rsidRPr="006233D3">
              <w:rPr>
                <w:rFonts w:ascii="Times New Roman" w:eastAsia="Calibri" w:hAnsi="Times New Roman" w:cs="Times New Roman"/>
                <w:bCs/>
              </w:rPr>
              <w:t xml:space="preserve">povećanje </w:t>
            </w:r>
            <w:r w:rsidRPr="006233D3">
              <w:rPr>
                <w:rFonts w:ascii="Times New Roman" w:eastAsia="Calibri" w:hAnsi="Times New Roman" w:cs="Times New Roman"/>
                <w:bCs/>
              </w:rPr>
              <w:t>infrastrukture smještaja u visokom obrazovanju s ciljem poboljšanja pristupa visokom obrazovanju te završetak studija za studente u nepovoljnom položaju</w:t>
            </w:r>
          </w:p>
        </w:tc>
        <w:tc>
          <w:tcPr>
            <w:tcW w:w="1701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1518"/>
        </w:trPr>
        <w:tc>
          <w:tcPr>
            <w:tcW w:w="1949" w:type="dxa"/>
            <w:vMerge/>
            <w:tcBorders>
              <w:bottom w:val="single" w:sz="4" w:space="0" w:color="auto"/>
            </w:tcBorders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10a3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9851AF" w:rsidRPr="006233D3" w:rsidRDefault="009851AF" w:rsidP="008F6E8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Povećanje relevantnosti strukovnog obrazovanja</w:t>
            </w:r>
            <w:r w:rsidR="008F6E85" w:rsidRPr="006233D3">
              <w:rPr>
                <w:rFonts w:ascii="Times New Roman" w:eastAsia="Calibri" w:hAnsi="Times New Roman" w:cs="Times New Roman"/>
                <w:bCs/>
              </w:rPr>
              <w:t xml:space="preserve"> kroz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poboljšanje uvjeta za stjecanje praktičnih vještina u ciljanim sektorima</w:t>
            </w:r>
            <w:r w:rsidR="008F6E85" w:rsidRPr="006233D3">
              <w:rPr>
                <w:rFonts w:ascii="Times New Roman" w:eastAsia="Calibri" w:hAnsi="Times New Roman" w:cs="Times New Roman"/>
                <w:bCs/>
              </w:rPr>
              <w:t xml:space="preserve"> srednjeg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strukovnog obrazovanja </w:t>
            </w:r>
            <w:r w:rsidR="008F6E85" w:rsidRPr="006233D3">
              <w:rPr>
                <w:rFonts w:ascii="Times New Roman" w:eastAsia="Calibri" w:hAnsi="Times New Roman" w:cs="Times New Roman"/>
                <w:bCs/>
              </w:rPr>
              <w:t>s ciljem postizanja veće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233D3">
              <w:rPr>
                <w:rFonts w:ascii="Times New Roman" w:eastAsia="Calibri" w:hAnsi="Times New Roman" w:cs="Times New Roman"/>
                <w:bCs/>
              </w:rPr>
              <w:t>zapošljivost</w:t>
            </w:r>
            <w:r w:rsidR="008F6E85" w:rsidRPr="006233D3">
              <w:rPr>
                <w:rFonts w:ascii="Times New Roman" w:eastAsia="Calibri" w:hAnsi="Times New Roman" w:cs="Times New Roman"/>
                <w:bCs/>
              </w:rPr>
              <w:t>i</w:t>
            </w:r>
            <w:proofErr w:type="spellEnd"/>
            <w:r w:rsidRPr="006233D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F6E85" w:rsidRPr="006233D3">
              <w:rPr>
                <w:rFonts w:ascii="Times New Roman" w:eastAsia="Calibri" w:hAnsi="Times New Roman" w:cs="Times New Roman"/>
                <w:bCs/>
              </w:rPr>
              <w:t xml:space="preserve">učenika srednjeg </w:t>
            </w:r>
            <w:r w:rsidR="00E93FE1" w:rsidRPr="006233D3">
              <w:rPr>
                <w:rFonts w:ascii="Times New Roman" w:eastAsia="Calibri" w:hAnsi="Times New Roman" w:cs="Times New Roman"/>
                <w:bCs/>
              </w:rPr>
              <w:t>strukovnog obrazovanja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789"/>
        </w:trPr>
        <w:tc>
          <w:tcPr>
            <w:tcW w:w="1949" w:type="dxa"/>
            <w:vMerge w:val="restart"/>
            <w:noWrap/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10. Tehnička pomoć  </w:t>
            </w:r>
          </w:p>
        </w:tc>
        <w:tc>
          <w:tcPr>
            <w:tcW w:w="3829" w:type="dxa"/>
            <w:vMerge w:val="restart"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Nije primjenjivo</w:t>
            </w:r>
          </w:p>
        </w:tc>
        <w:tc>
          <w:tcPr>
            <w:tcW w:w="1276" w:type="dxa"/>
            <w:noWrap/>
            <w:hideMark/>
          </w:tcPr>
          <w:p w:rsidR="009851AF" w:rsidRPr="006233D3" w:rsidRDefault="00F5080B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TA</w:t>
            </w:r>
            <w:r w:rsidR="009851AF" w:rsidRPr="006233D3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827" w:type="dxa"/>
            <w:hideMark/>
          </w:tcPr>
          <w:p w:rsidR="009851AF" w:rsidRPr="006233D3" w:rsidRDefault="009851AF" w:rsidP="008F6E8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Osiguravanje</w:t>
            </w:r>
            <w:r w:rsidR="006233D3" w:rsidRPr="006233D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F6E85" w:rsidRPr="006233D3">
              <w:rPr>
                <w:rFonts w:ascii="Times New Roman" w:eastAsia="Calibri" w:hAnsi="Times New Roman" w:cs="Times New Roman"/>
                <w:bCs/>
              </w:rPr>
              <w:t>odgovarajućih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i učinkovitih ljudskih </w:t>
            </w:r>
            <w:r w:rsidR="008F6E85" w:rsidRPr="006233D3">
              <w:rPr>
                <w:rFonts w:ascii="Times New Roman" w:eastAsia="Calibri" w:hAnsi="Times New Roman" w:cs="Times New Roman"/>
                <w:bCs/>
              </w:rPr>
              <w:t xml:space="preserve">resursa </w:t>
            </w:r>
            <w:r w:rsidRPr="006233D3">
              <w:rPr>
                <w:rFonts w:ascii="Times New Roman" w:eastAsia="Calibri" w:hAnsi="Times New Roman" w:cs="Times New Roman"/>
                <w:bCs/>
              </w:rPr>
              <w:t>za provedbu operativn</w:t>
            </w:r>
            <w:r w:rsidR="008F6E85" w:rsidRPr="006233D3">
              <w:rPr>
                <w:rFonts w:ascii="Times New Roman" w:eastAsia="Calibri" w:hAnsi="Times New Roman" w:cs="Times New Roman"/>
                <w:bCs/>
              </w:rPr>
              <w:t>ih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programa</w:t>
            </w:r>
          </w:p>
        </w:tc>
        <w:tc>
          <w:tcPr>
            <w:tcW w:w="1701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 xml:space="preserve">Ministarstvo regionalnoga razvoja i </w:t>
            </w:r>
            <w:r w:rsidRPr="006233D3">
              <w:rPr>
                <w:rFonts w:ascii="Times New Roman" w:eastAsia="Calibri" w:hAnsi="Times New Roman" w:cs="Times New Roman"/>
                <w:bCs/>
              </w:rPr>
              <w:lastRenderedPageBreak/>
              <w:t>fondova Europske unije</w:t>
            </w:r>
          </w:p>
        </w:tc>
        <w:tc>
          <w:tcPr>
            <w:tcW w:w="1638" w:type="dxa"/>
            <w:vMerge w:val="restart"/>
            <w:hideMark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lastRenderedPageBreak/>
              <w:t xml:space="preserve">Središnja agencija za financiranje i </w:t>
            </w:r>
            <w:r w:rsidRPr="006233D3">
              <w:rPr>
                <w:rFonts w:ascii="Times New Roman" w:eastAsia="Calibri" w:hAnsi="Times New Roman" w:cs="Times New Roman"/>
                <w:bCs/>
              </w:rPr>
              <w:lastRenderedPageBreak/>
              <w:t>ugovaranje programa i projekata Europske unije</w:t>
            </w:r>
          </w:p>
        </w:tc>
      </w:tr>
      <w:tr w:rsidR="009851AF" w:rsidRPr="006233D3" w:rsidTr="0070295E">
        <w:trPr>
          <w:trHeight w:val="640"/>
        </w:trPr>
        <w:tc>
          <w:tcPr>
            <w:tcW w:w="1949" w:type="dxa"/>
            <w:vMerge/>
            <w:noWrap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noWrap/>
          </w:tcPr>
          <w:p w:rsidR="009851AF" w:rsidRPr="006233D3" w:rsidRDefault="00F5080B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TA</w:t>
            </w:r>
            <w:r w:rsidR="009851AF" w:rsidRPr="006233D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:rsidR="009851AF" w:rsidRPr="006233D3" w:rsidRDefault="009851AF" w:rsidP="003E41E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Po</w:t>
            </w:r>
            <w:r w:rsidR="008F6E85" w:rsidRPr="006233D3">
              <w:rPr>
                <w:rFonts w:ascii="Times New Roman" w:eastAsia="Calibri" w:hAnsi="Times New Roman" w:cs="Times New Roman"/>
                <w:bCs/>
              </w:rPr>
              <w:t>drška</w:t>
            </w:r>
            <w:r w:rsidR="006233D3" w:rsidRPr="006233D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233D3">
              <w:rPr>
                <w:rFonts w:ascii="Times New Roman" w:eastAsia="Calibri" w:hAnsi="Times New Roman" w:cs="Times New Roman"/>
                <w:bCs/>
              </w:rPr>
              <w:t>učinkovitoj provedbi, praćenju i evaluaciji programa</w:t>
            </w:r>
          </w:p>
        </w:tc>
        <w:tc>
          <w:tcPr>
            <w:tcW w:w="1701" w:type="dxa"/>
            <w:vMerge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851AF" w:rsidRPr="006233D3" w:rsidTr="0070295E">
        <w:trPr>
          <w:trHeight w:val="747"/>
        </w:trPr>
        <w:tc>
          <w:tcPr>
            <w:tcW w:w="1949" w:type="dxa"/>
            <w:vMerge/>
            <w:tcBorders>
              <w:bottom w:val="single" w:sz="4" w:space="0" w:color="auto"/>
            </w:tcBorders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9851AF" w:rsidRPr="006233D3" w:rsidRDefault="00F5080B" w:rsidP="003E41EE">
            <w:pPr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TA</w:t>
            </w:r>
            <w:r w:rsidR="009851AF" w:rsidRPr="006233D3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9851AF" w:rsidRPr="006233D3" w:rsidRDefault="009851AF" w:rsidP="008F6E8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33D3">
              <w:rPr>
                <w:rFonts w:ascii="Times New Roman" w:eastAsia="Calibri" w:hAnsi="Times New Roman" w:cs="Times New Roman"/>
                <w:bCs/>
              </w:rPr>
              <w:t>Po</w:t>
            </w:r>
            <w:r w:rsidR="008F6E85" w:rsidRPr="006233D3">
              <w:rPr>
                <w:rFonts w:ascii="Times New Roman" w:eastAsia="Calibri" w:hAnsi="Times New Roman" w:cs="Times New Roman"/>
                <w:bCs/>
              </w:rPr>
              <w:t>drška</w:t>
            </w:r>
            <w:r w:rsidRPr="006233D3">
              <w:rPr>
                <w:rFonts w:ascii="Times New Roman" w:eastAsia="Calibri" w:hAnsi="Times New Roman" w:cs="Times New Roman"/>
                <w:bCs/>
              </w:rPr>
              <w:t xml:space="preserve"> informiranju</w:t>
            </w:r>
            <w:r w:rsidR="006233D3" w:rsidRPr="006233D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F6E85" w:rsidRPr="006233D3">
              <w:rPr>
                <w:rFonts w:ascii="Times New Roman" w:eastAsia="Calibri" w:hAnsi="Times New Roman" w:cs="Times New Roman"/>
                <w:bCs/>
              </w:rPr>
              <w:t>javnosti i podizanju kapaciteta potencijalnih korisnika za pripremu projekata i njihovu provedbu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hideMark/>
          </w:tcPr>
          <w:p w:rsidR="009851AF" w:rsidRPr="006233D3" w:rsidRDefault="009851AF" w:rsidP="003E41EE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933B62" w:rsidRPr="006233D3" w:rsidRDefault="00933B62" w:rsidP="00AA6278">
      <w:pPr>
        <w:jc w:val="both"/>
        <w:rPr>
          <w:rFonts w:ascii="Times New Roman" w:hAnsi="Times New Roman" w:cs="Times New Roman"/>
        </w:rPr>
      </w:pPr>
    </w:p>
    <w:p w:rsidR="00D5283C" w:rsidRPr="006233D3" w:rsidRDefault="00D5283C" w:rsidP="00AA6278">
      <w:pPr>
        <w:jc w:val="both"/>
        <w:rPr>
          <w:rFonts w:ascii="Times New Roman" w:hAnsi="Times New Roman" w:cs="Times New Roman"/>
        </w:rPr>
      </w:pPr>
    </w:p>
    <w:p w:rsidR="00C95780" w:rsidRPr="006233D3" w:rsidRDefault="00C95780" w:rsidP="00AA6278">
      <w:pPr>
        <w:jc w:val="both"/>
        <w:rPr>
          <w:rFonts w:ascii="Times New Roman" w:hAnsi="Times New Roman" w:cs="Times New Roman"/>
        </w:rPr>
      </w:pPr>
    </w:p>
    <w:p w:rsidR="00C95780" w:rsidRPr="006233D3" w:rsidRDefault="00C95780" w:rsidP="00AA6278">
      <w:pPr>
        <w:jc w:val="both"/>
        <w:rPr>
          <w:rFonts w:ascii="Times New Roman" w:hAnsi="Times New Roman" w:cs="Times New Roman"/>
        </w:rPr>
      </w:pPr>
    </w:p>
    <w:p w:rsidR="00C95780" w:rsidRDefault="00C95780" w:rsidP="00AA6278">
      <w:pPr>
        <w:jc w:val="both"/>
        <w:rPr>
          <w:rFonts w:ascii="Times New Roman" w:hAnsi="Times New Roman" w:cs="Times New Roman"/>
        </w:rPr>
      </w:pPr>
    </w:p>
    <w:p w:rsidR="006233D3" w:rsidRDefault="006233D3" w:rsidP="00AA6278">
      <w:pPr>
        <w:jc w:val="both"/>
        <w:rPr>
          <w:rFonts w:ascii="Times New Roman" w:hAnsi="Times New Roman" w:cs="Times New Roman"/>
        </w:rPr>
      </w:pPr>
    </w:p>
    <w:p w:rsidR="006233D3" w:rsidRDefault="006233D3" w:rsidP="00AA6278">
      <w:pPr>
        <w:jc w:val="both"/>
        <w:rPr>
          <w:rFonts w:ascii="Times New Roman" w:hAnsi="Times New Roman" w:cs="Times New Roman"/>
        </w:rPr>
      </w:pPr>
    </w:p>
    <w:p w:rsidR="003403BB" w:rsidRDefault="003403BB" w:rsidP="00AA6278">
      <w:pPr>
        <w:jc w:val="both"/>
        <w:rPr>
          <w:rFonts w:ascii="Times New Roman" w:hAnsi="Times New Roman" w:cs="Times New Roman"/>
        </w:rPr>
      </w:pPr>
    </w:p>
    <w:p w:rsidR="003403BB" w:rsidRDefault="003403BB" w:rsidP="00AA6278">
      <w:pPr>
        <w:jc w:val="both"/>
        <w:rPr>
          <w:rFonts w:ascii="Times New Roman" w:hAnsi="Times New Roman" w:cs="Times New Roman"/>
        </w:rPr>
      </w:pPr>
    </w:p>
    <w:p w:rsidR="006233D3" w:rsidRPr="006233D3" w:rsidRDefault="006233D3" w:rsidP="00AA6278">
      <w:pPr>
        <w:jc w:val="both"/>
        <w:rPr>
          <w:rFonts w:ascii="Times New Roman" w:hAnsi="Times New Roman" w:cs="Times New Roman"/>
        </w:rPr>
      </w:pPr>
    </w:p>
    <w:p w:rsidR="00C95780" w:rsidRPr="006233D3" w:rsidRDefault="00C95780" w:rsidP="00AA6278">
      <w:pPr>
        <w:jc w:val="both"/>
        <w:rPr>
          <w:rFonts w:ascii="Times New Roman" w:hAnsi="Times New Roman" w:cs="Times New Roman"/>
        </w:rPr>
      </w:pPr>
    </w:p>
    <w:tbl>
      <w:tblPr>
        <w:tblW w:w="14283" w:type="dxa"/>
        <w:jc w:val="center"/>
        <w:tblInd w:w="1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"/>
        <w:gridCol w:w="1997"/>
        <w:gridCol w:w="3827"/>
        <w:gridCol w:w="1276"/>
        <w:gridCol w:w="3820"/>
        <w:gridCol w:w="1669"/>
        <w:gridCol w:w="1685"/>
      </w:tblGrid>
      <w:tr w:rsidR="00367278" w:rsidRPr="006233D3" w:rsidTr="003E41EE">
        <w:trPr>
          <w:gridBefore w:val="1"/>
          <w:wBefore w:w="9" w:type="dxa"/>
          <w:cantSplit/>
          <w:trHeight w:val="20"/>
          <w:tblHeader/>
          <w:jc w:val="center"/>
        </w:trPr>
        <w:tc>
          <w:tcPr>
            <w:tcW w:w="14274" w:type="dxa"/>
            <w:gridSpan w:val="6"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6233D3">
              <w:rPr>
                <w:rFonts w:ascii="Times New Roman" w:eastAsia="Cambria" w:hAnsi="Times New Roman" w:cs="Times New Roman"/>
                <w:b/>
              </w:rPr>
              <w:lastRenderedPageBreak/>
              <w:t>Prikaz 2</w:t>
            </w:r>
          </w:p>
          <w:p w:rsidR="00367278" w:rsidRPr="006233D3" w:rsidRDefault="00367278" w:rsidP="00DD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Cambria" w:hAnsi="Times New Roman" w:cs="Times New Roman"/>
                <w:b/>
              </w:rPr>
              <w:t>Operativni program „Učinkoviti ljudski potencijali“</w:t>
            </w:r>
          </w:p>
        </w:tc>
      </w:tr>
      <w:tr w:rsidR="00367278" w:rsidRPr="006233D3" w:rsidTr="003E41EE">
        <w:trPr>
          <w:gridBefore w:val="1"/>
          <w:wBefore w:w="9" w:type="dxa"/>
          <w:cantSplit/>
          <w:trHeight w:val="20"/>
          <w:tblHeader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367278" w:rsidRPr="006233D3" w:rsidRDefault="00367278" w:rsidP="003E41E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6233D3">
              <w:rPr>
                <w:rFonts w:ascii="Times New Roman" w:eastAsia="Cambria" w:hAnsi="Times New Roman" w:cs="Times New Roman"/>
                <w:b/>
              </w:rPr>
              <w:t>Prioritetna os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7278" w:rsidRPr="006233D3" w:rsidRDefault="005C2022" w:rsidP="005C202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6233D3">
              <w:rPr>
                <w:rFonts w:ascii="Times New Roman" w:eastAsia="Cambria" w:hAnsi="Times New Roman" w:cs="Times New Roman"/>
                <w:b/>
              </w:rPr>
              <w:t>Izabrani investicijski prioritet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278" w:rsidRPr="006233D3" w:rsidRDefault="00367278" w:rsidP="003E41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67278" w:rsidRPr="006233D3" w:rsidRDefault="00367278" w:rsidP="003E41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33D3">
              <w:rPr>
                <w:rFonts w:ascii="Times New Roman" w:eastAsia="Calibri" w:hAnsi="Times New Roman" w:cs="Times New Roman"/>
                <w:b/>
                <w:bCs/>
              </w:rPr>
              <w:t>Oznaka specifičnog cilja (OSC)</w:t>
            </w:r>
          </w:p>
          <w:p w:rsidR="00367278" w:rsidRPr="006233D3" w:rsidRDefault="00367278" w:rsidP="003E41E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367278" w:rsidRPr="006233D3" w:rsidRDefault="005C2022" w:rsidP="003E41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33D3">
              <w:rPr>
                <w:rFonts w:ascii="Times New Roman" w:eastAsia="Calibri" w:hAnsi="Times New Roman" w:cs="Times New Roman"/>
                <w:b/>
                <w:bCs/>
              </w:rPr>
              <w:t>Naziv s</w:t>
            </w:r>
            <w:r w:rsidR="00367278" w:rsidRPr="006233D3">
              <w:rPr>
                <w:rFonts w:ascii="Times New Roman" w:eastAsia="Calibri" w:hAnsi="Times New Roman" w:cs="Times New Roman"/>
                <w:b/>
                <w:bCs/>
              </w:rPr>
              <w:t>pecifičnog cilja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367278" w:rsidRPr="006233D3" w:rsidRDefault="00367278" w:rsidP="003E41E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6233D3">
              <w:rPr>
                <w:rFonts w:ascii="Times New Roman" w:eastAsia="Cambria" w:hAnsi="Times New Roman" w:cs="Times New Roman"/>
                <w:b/>
              </w:rPr>
              <w:t>Posredničko tijelo razine 1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367278" w:rsidRPr="006233D3" w:rsidRDefault="00367278" w:rsidP="003E41E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6233D3">
              <w:rPr>
                <w:rFonts w:ascii="Times New Roman" w:eastAsia="Cambria" w:hAnsi="Times New Roman" w:cs="Times New Roman"/>
                <w:b/>
              </w:rPr>
              <w:t>Posredničko tijelo razine 2</w:t>
            </w:r>
          </w:p>
        </w:tc>
      </w:tr>
      <w:tr w:rsidR="00367278" w:rsidRPr="006233D3" w:rsidTr="003E41EE">
        <w:trPr>
          <w:cantSplit/>
          <w:trHeight w:val="1081"/>
          <w:jc w:val="center"/>
        </w:trPr>
        <w:tc>
          <w:tcPr>
            <w:tcW w:w="2006" w:type="dxa"/>
            <w:gridSpan w:val="2"/>
            <w:vMerge w:val="restart"/>
            <w:shd w:val="clear" w:color="auto" w:fill="auto"/>
            <w:hideMark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1. Visoka </w:t>
            </w:r>
            <w:proofErr w:type="spellStart"/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zapošljivost</w:t>
            </w:r>
            <w:proofErr w:type="spellEnd"/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 i mobilnost radne snage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Pristup zapošljavanju za osobe koje traže posao i neaktivne osobe, uključujući one koji su dugotrajno nezaposleni i one koji su daleko od tržišta rada, kao i provedbom lokalnih inicijativa za zapošljavanje i potpore za mobilnost radne snage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8.i.1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Povećanje zapošljavanja nezaposlenih osoba, posebice dugotrajno nezaposlenih i osoba čije vještine ne odgovaraju potrebama tržišta rada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rada i mirovinskoga sustava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367278" w:rsidRPr="006233D3" w:rsidRDefault="00C95780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Hrvatski zavod za zapošljavanje</w:t>
            </w:r>
          </w:p>
        </w:tc>
      </w:tr>
      <w:tr w:rsidR="00367278" w:rsidRPr="006233D3" w:rsidTr="003E41EE">
        <w:trPr>
          <w:cantSplit/>
          <w:trHeight w:val="825"/>
          <w:jc w:val="center"/>
        </w:trPr>
        <w:tc>
          <w:tcPr>
            <w:tcW w:w="2006" w:type="dxa"/>
            <w:gridSpan w:val="2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8.i.2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Povećanje održivog samozapošljavanja nezaposlenih osoba, posebice žena</w:t>
            </w:r>
          </w:p>
        </w:tc>
        <w:tc>
          <w:tcPr>
            <w:tcW w:w="1669" w:type="dxa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7278" w:rsidRPr="006233D3" w:rsidTr="003E41EE">
        <w:trPr>
          <w:cantSplit/>
          <w:trHeight w:val="1110"/>
          <w:jc w:val="center"/>
        </w:trPr>
        <w:tc>
          <w:tcPr>
            <w:tcW w:w="2006" w:type="dxa"/>
            <w:gridSpan w:val="2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8.i.3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Očuvanje radnih mjesta, zadržavanje u zaposlenju radnika koji su proglašeni viškom te jačanje brzog ponovnog zapošljavanja osoba koje su postale nezaposlene nakon što su proglašene viškom</w:t>
            </w:r>
          </w:p>
        </w:tc>
        <w:tc>
          <w:tcPr>
            <w:tcW w:w="1669" w:type="dxa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7278" w:rsidRPr="006233D3" w:rsidTr="003E41EE">
        <w:trPr>
          <w:cantSplit/>
          <w:trHeight w:val="20"/>
          <w:jc w:val="center"/>
        </w:trPr>
        <w:tc>
          <w:tcPr>
            <w:tcW w:w="2006" w:type="dxa"/>
            <w:gridSpan w:val="2"/>
            <w:vMerge/>
            <w:shd w:val="clear" w:color="auto" w:fill="auto"/>
            <w:hideMark/>
          </w:tcPr>
          <w:p w:rsidR="00367278" w:rsidRPr="006233D3" w:rsidRDefault="00367278" w:rsidP="003E41EE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Održiva integracija mladih na tržište rada (ESF), posebno onih koji nisu zaposleni, ne obrazuju se niti osposobljavaju, uključujući mlade koji su izloženi riziku od socijalne isključenosti i mlade iz marginaliziranih zajednica, uključujući provedbom Jamstva za mlade</w:t>
            </w:r>
          </w:p>
        </w:tc>
        <w:tc>
          <w:tcPr>
            <w:tcW w:w="1276" w:type="dxa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8.ii.1 (ESF)</w:t>
            </w:r>
          </w:p>
        </w:tc>
        <w:tc>
          <w:tcPr>
            <w:tcW w:w="3820" w:type="dxa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Povećanje zapošljavanja i integracije dugotrajno nezaposlenih iz NEET skupine na tržište rada i za sve iz NEET skupine od 2019. godine</w:t>
            </w:r>
          </w:p>
        </w:tc>
        <w:tc>
          <w:tcPr>
            <w:tcW w:w="1669" w:type="dxa"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rada i mirovinskoga sustava</w:t>
            </w:r>
          </w:p>
        </w:tc>
        <w:tc>
          <w:tcPr>
            <w:tcW w:w="1685" w:type="dxa"/>
            <w:shd w:val="clear" w:color="auto" w:fill="auto"/>
          </w:tcPr>
          <w:p w:rsidR="00367278" w:rsidRPr="006233D3" w:rsidRDefault="00C95780" w:rsidP="003E41E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Hrvatski zavod za zapošljavanje</w:t>
            </w:r>
          </w:p>
        </w:tc>
      </w:tr>
      <w:tr w:rsidR="00367278" w:rsidRPr="006233D3" w:rsidTr="003E41EE">
        <w:trPr>
          <w:cantSplit/>
          <w:trHeight w:val="20"/>
          <w:jc w:val="center"/>
        </w:trPr>
        <w:tc>
          <w:tcPr>
            <w:tcW w:w="2006" w:type="dxa"/>
            <w:gridSpan w:val="2"/>
            <w:vMerge/>
            <w:shd w:val="clear" w:color="auto" w:fill="auto"/>
            <w:vAlign w:val="center"/>
          </w:tcPr>
          <w:p w:rsidR="00367278" w:rsidRPr="006233D3" w:rsidRDefault="00367278" w:rsidP="003E41EE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Održiva integracija mladih na tržište rada (Inicijativa za zapošljavanje mladih IZM-YEI), posebno onih koji nisu zaposleni, ne obrazuju se niti osposobljavaju, uključujući mlade koji su izloženi riziku od socijalne isključenosti i mlade iz marginaliziranih zajednica, uključujući provedbom Jamstva za mlade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8.ii.1 (YEI)</w:t>
            </w:r>
          </w:p>
        </w:tc>
        <w:tc>
          <w:tcPr>
            <w:tcW w:w="3820" w:type="dxa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Povećanje zapošljavanja i brze integracije NEET skupine kroz Inicijativu za zapošljavanje mladih na tržište rada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rada i mirovinskoga sustava</w:t>
            </w:r>
          </w:p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znanosti, obrazovanja i sporta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67278" w:rsidRPr="006233D3" w:rsidRDefault="00C95780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Hrvatski zavod za zapošljavanje </w:t>
            </w:r>
          </w:p>
          <w:p w:rsidR="00C95780" w:rsidRPr="006233D3" w:rsidRDefault="00C95780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67278" w:rsidRPr="006233D3" w:rsidRDefault="00C95780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Agencija za strukovno obrazovanje i obrazovanje odraslih</w:t>
            </w:r>
          </w:p>
        </w:tc>
      </w:tr>
      <w:tr w:rsidR="00367278" w:rsidRPr="006233D3" w:rsidTr="003E41EE">
        <w:trPr>
          <w:cantSplit/>
          <w:trHeight w:val="1200"/>
          <w:jc w:val="center"/>
        </w:trPr>
        <w:tc>
          <w:tcPr>
            <w:tcW w:w="2006" w:type="dxa"/>
            <w:gridSpan w:val="2"/>
            <w:vMerge/>
            <w:shd w:val="clear" w:color="auto" w:fill="auto"/>
            <w:vAlign w:val="center"/>
            <w:hideMark/>
          </w:tcPr>
          <w:p w:rsidR="00367278" w:rsidRPr="006233D3" w:rsidRDefault="00367278" w:rsidP="003E41EE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Modernizacija ustanova tržišta rada kao što su javne i privatne službe za zapošljavanje te bolja usklađenost s potrebama tržišta rada, uključujući putem djelovanja koja povećavaju transnacionalnu mobilnost radne snage, kao i putem programa mobilnosti, te bolja suradnja institucija i relevantnih dionika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8.vii.1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Jačanje kapaciteta lokalnih partnerstava za zapošljavanje i povećanje zaposlenosti najranjivijih skupina na lokalnim tržištima rada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rada i mirovinskoga sustava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367278" w:rsidRPr="006233D3" w:rsidRDefault="00C95780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Hrvatski zavod za zapošljavanje</w:t>
            </w:r>
          </w:p>
        </w:tc>
      </w:tr>
      <w:tr w:rsidR="00367278" w:rsidRPr="006233D3" w:rsidTr="003E41EE">
        <w:trPr>
          <w:cantSplit/>
          <w:trHeight w:val="1320"/>
          <w:jc w:val="center"/>
        </w:trPr>
        <w:tc>
          <w:tcPr>
            <w:tcW w:w="20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278" w:rsidRPr="006233D3" w:rsidRDefault="00367278" w:rsidP="003E41EE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8.vii.2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Povećanje dostupnosti i kvalitete javno dostupnih informacija i usluga na tržištu rada, uključujući mjere APZ-a</w:t>
            </w: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7278" w:rsidRPr="006233D3" w:rsidTr="006233D3">
        <w:trPr>
          <w:cantSplit/>
          <w:trHeight w:val="1949"/>
          <w:jc w:val="center"/>
        </w:trPr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2. Socijalno uključivanje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Aktivna uključenost, uključujući s ciljem promicanja jednakih mogućnosti te aktivnog sudjelovanja i poboljšanja </w:t>
            </w:r>
            <w:proofErr w:type="spellStart"/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zapošljivosti</w:t>
            </w:r>
            <w:proofErr w:type="spellEnd"/>
          </w:p>
        </w:tc>
        <w:tc>
          <w:tcPr>
            <w:tcW w:w="1276" w:type="dxa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9.i.1</w:t>
            </w:r>
          </w:p>
        </w:tc>
        <w:tc>
          <w:tcPr>
            <w:tcW w:w="3820" w:type="dxa"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Borba protiv siromaštva i socijalne isključenosti kroz promociju integracije na tržište rada i socijalne integracije ranjivih skupina, i borba protiv svih oblika diskriminacije</w:t>
            </w:r>
          </w:p>
        </w:tc>
        <w:tc>
          <w:tcPr>
            <w:tcW w:w="1669" w:type="dxa"/>
            <w:shd w:val="clear" w:color="auto" w:fill="auto"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socijalne politike i mladih</w:t>
            </w:r>
          </w:p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kulture</w:t>
            </w:r>
          </w:p>
        </w:tc>
        <w:tc>
          <w:tcPr>
            <w:tcW w:w="1685" w:type="dxa"/>
            <w:shd w:val="clear" w:color="auto" w:fill="auto"/>
          </w:tcPr>
          <w:p w:rsidR="00367278" w:rsidRPr="006233D3" w:rsidRDefault="00C95780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Hrvatski zavod za zapošljavanje </w:t>
            </w:r>
          </w:p>
          <w:p w:rsidR="00C95780" w:rsidRPr="006233D3" w:rsidRDefault="00C95780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Nacionalna zaklada za razvoj civilnoga društva</w:t>
            </w:r>
          </w:p>
        </w:tc>
      </w:tr>
      <w:tr w:rsidR="00367278" w:rsidRPr="006233D3" w:rsidTr="003E41EE">
        <w:trPr>
          <w:cantSplit/>
          <w:trHeight w:val="1065"/>
          <w:jc w:val="center"/>
        </w:trPr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233D3">
              <w:rPr>
                <w:rFonts w:ascii="Times New Roman" w:eastAsia="Cambria" w:hAnsi="Times New Roman" w:cs="Times New Roman"/>
              </w:rPr>
              <w:t>9.i.2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Jačanje aktivnog uključivanja kroz implementaciju integriranih </w:t>
            </w:r>
            <w:proofErr w:type="spellStart"/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puteva</w:t>
            </w:r>
            <w:proofErr w:type="spellEnd"/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 prema regeneraciji 5 nerazvijenih pilot područja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rada i mirovinskoga sustava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:rsidR="00367278" w:rsidRPr="006233D3" w:rsidRDefault="00C95780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Hrvatski zavod za zapošljavanje</w:t>
            </w:r>
          </w:p>
        </w:tc>
      </w:tr>
      <w:tr w:rsidR="00367278" w:rsidRPr="006233D3" w:rsidTr="003E41EE">
        <w:trPr>
          <w:cantSplit/>
          <w:trHeight w:val="1004"/>
          <w:jc w:val="center"/>
        </w:trPr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Poboljšanje pristupa pristupačnim, održivim i visokokvalitetnim uslugama, uključujući usluge zdravstvene skrbi i socijalne usluge od općeg interesa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233D3">
              <w:rPr>
                <w:rFonts w:ascii="Times New Roman" w:eastAsia="Cambria" w:hAnsi="Times New Roman" w:cs="Times New Roman"/>
              </w:rPr>
              <w:t>9.iv.1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Održivo poboljšanje pristupa zdravstvenoj skrbi u nerazvijenim područjima i za ranjive skupine te promocija zdravlja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zdravlja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:rsidR="00367278" w:rsidRPr="006233D3" w:rsidRDefault="00C95780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Hrvatski zavod za zapošljavanje</w:t>
            </w:r>
          </w:p>
        </w:tc>
      </w:tr>
      <w:tr w:rsidR="00367278" w:rsidRPr="006233D3" w:rsidTr="003E41EE">
        <w:trPr>
          <w:cantSplit/>
          <w:trHeight w:val="1005"/>
          <w:jc w:val="center"/>
        </w:trPr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233D3">
              <w:rPr>
                <w:rFonts w:ascii="Times New Roman" w:eastAsia="Cambria" w:hAnsi="Times New Roman" w:cs="Times New Roman"/>
              </w:rPr>
              <w:t>9.iv.2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Poboljšanje pristupa visokokvalitetnim socijalnim uslugama, uključujući podršku procesu </w:t>
            </w:r>
            <w:proofErr w:type="spellStart"/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deinstitucionalizacije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Ministarstvo socijalne politike i mladih </w:t>
            </w:r>
          </w:p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turizma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:rsidR="00367278" w:rsidRPr="006233D3" w:rsidRDefault="00C95780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Hrvatski zavod za zapošljavanje</w:t>
            </w:r>
          </w:p>
        </w:tc>
      </w:tr>
      <w:tr w:rsidR="00367278" w:rsidRPr="006233D3" w:rsidTr="003E41EE">
        <w:trPr>
          <w:cantSplit/>
          <w:trHeight w:val="20"/>
          <w:jc w:val="center"/>
        </w:trPr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Promicanje socijalnog poduzetništva i strukovne integracije u socijalnim poduzećima te socijalne ekonomije i ekonomije solidarnosti radi olakšavanja pristupa zapošljavanju</w:t>
            </w:r>
          </w:p>
        </w:tc>
        <w:tc>
          <w:tcPr>
            <w:tcW w:w="1276" w:type="dxa"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9.v.1</w:t>
            </w:r>
          </w:p>
        </w:tc>
        <w:tc>
          <w:tcPr>
            <w:tcW w:w="3820" w:type="dxa"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Povećanje broja i održivosti društvenih poduzeća i njihovih zaposlenika</w:t>
            </w: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669" w:type="dxa"/>
            <w:shd w:val="clear" w:color="auto" w:fill="auto"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rada i mirovinskoga sustava</w:t>
            </w:r>
          </w:p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socijalne politike i mladih</w:t>
            </w:r>
          </w:p>
        </w:tc>
        <w:tc>
          <w:tcPr>
            <w:tcW w:w="1685" w:type="dxa"/>
            <w:shd w:val="clear" w:color="auto" w:fill="auto"/>
          </w:tcPr>
          <w:p w:rsidR="00367278" w:rsidRPr="006233D3" w:rsidRDefault="00C95780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Hrvatski zavod za zapošljavanje </w:t>
            </w:r>
          </w:p>
          <w:p w:rsidR="00C95780" w:rsidRPr="006233D3" w:rsidRDefault="00C95780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95780" w:rsidRPr="006233D3" w:rsidRDefault="00C95780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95780" w:rsidRPr="006233D3" w:rsidRDefault="00C95780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Nacionalna zaklada za razvoj civilnoga društva</w:t>
            </w:r>
          </w:p>
        </w:tc>
      </w:tr>
      <w:tr w:rsidR="00367278" w:rsidRPr="006233D3" w:rsidTr="003E41EE">
        <w:trPr>
          <w:cantSplit/>
          <w:trHeight w:val="468"/>
          <w:jc w:val="center"/>
        </w:trPr>
        <w:tc>
          <w:tcPr>
            <w:tcW w:w="200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3. Obrazovanje i </w:t>
            </w:r>
            <w:proofErr w:type="spellStart"/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cjeloživotno</w:t>
            </w:r>
            <w:proofErr w:type="spellEnd"/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 učenje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Poboljšanje kvalitete i učinkovitosti tercijarnog i ekvivalentnog obrazovanja te pristupa njemu radi povećanja sudjelovanja u njemu i njegova stjecanja, posebno za skupine u nepovoljnom položaju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10.ii.1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Poboljšanje kvalitete, relevantnosti i učinkovitosti programa u visokom obrazovanju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znanosti, obrazovanja i sporta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367278" w:rsidRPr="006233D3" w:rsidRDefault="00C95780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Agencija za strukovno obrazovanje i obrazovanje odraslih</w:t>
            </w:r>
          </w:p>
        </w:tc>
      </w:tr>
      <w:tr w:rsidR="00367278" w:rsidRPr="006233D3" w:rsidTr="003E41EE">
        <w:trPr>
          <w:cantSplit/>
          <w:trHeight w:val="510"/>
          <w:jc w:val="center"/>
        </w:trPr>
        <w:tc>
          <w:tcPr>
            <w:tcW w:w="200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10.ii.2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Povećanje stope završnosti u visokom obrazovanju</w:t>
            </w:r>
          </w:p>
        </w:tc>
        <w:tc>
          <w:tcPr>
            <w:tcW w:w="1669" w:type="dxa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7278" w:rsidRPr="006233D3" w:rsidTr="003E41EE">
        <w:trPr>
          <w:cantSplit/>
          <w:trHeight w:val="512"/>
          <w:jc w:val="center"/>
        </w:trPr>
        <w:tc>
          <w:tcPr>
            <w:tcW w:w="200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10.ii.3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Bolje istraživačko okruženje za ljudske potencijale</w:t>
            </w:r>
          </w:p>
        </w:tc>
        <w:tc>
          <w:tcPr>
            <w:tcW w:w="1669" w:type="dxa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7278" w:rsidRPr="006233D3" w:rsidTr="003E41EE">
        <w:trPr>
          <w:cantSplit/>
          <w:trHeight w:val="505"/>
          <w:jc w:val="center"/>
        </w:trPr>
        <w:tc>
          <w:tcPr>
            <w:tcW w:w="2006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hideMark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Povećanje jednakog pristupa </w:t>
            </w:r>
            <w:proofErr w:type="spellStart"/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cjeloživotnom</w:t>
            </w:r>
            <w:proofErr w:type="spellEnd"/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 učenju za sve dobne skupine u formalnom, neformalnom i </w:t>
            </w:r>
            <w:proofErr w:type="spellStart"/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informalnom</w:t>
            </w:r>
            <w:proofErr w:type="spellEnd"/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 okruženju, unapređenje znanja, vještina i kompetencija radne snage, promicanje fleksibilnih načina učenja, između ostalog profesionalnim savjetovanjem i potvrđivanjem stečenih </w:t>
            </w: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kompetencija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10.iii.1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Unapređenje pristupa kvalitetnom obrazovanju na pred-tercijarnim razinama za učenike iz skupina u nepovoljnom položaju</w:t>
            </w:r>
          </w:p>
        </w:tc>
        <w:tc>
          <w:tcPr>
            <w:tcW w:w="1669" w:type="dxa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8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7278" w:rsidRPr="006233D3" w:rsidTr="003E41EE">
        <w:trPr>
          <w:cantSplit/>
          <w:trHeight w:val="690"/>
          <w:jc w:val="center"/>
        </w:trPr>
        <w:tc>
          <w:tcPr>
            <w:tcW w:w="2006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10.iii.2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Promicanje pristupa </w:t>
            </w:r>
            <w:proofErr w:type="spellStart"/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cjeloživotnom</w:t>
            </w:r>
            <w:proofErr w:type="spellEnd"/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 učenju kroz unaprjeđivanje ključnih kompetencija studenata, te primjenu IKT-a u poučavanju i učenju</w:t>
            </w: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85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7278" w:rsidRPr="006233D3" w:rsidTr="003E41EE">
        <w:trPr>
          <w:cantSplit/>
          <w:trHeight w:val="1305"/>
          <w:jc w:val="center"/>
        </w:trPr>
        <w:tc>
          <w:tcPr>
            <w:tcW w:w="2006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10.iii.3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2" w:space="0" w:color="auto"/>
            </w:tcBorders>
          </w:tcPr>
          <w:p w:rsidR="00367278" w:rsidRPr="006233D3" w:rsidRDefault="00367278" w:rsidP="003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Unapređenje kvalitete i relevantnosti obrazovnog sustava za odrasle i podrška odraslima te unaprjeđenje njihovih vještina i kompetencija</w:t>
            </w:r>
          </w:p>
        </w:tc>
        <w:tc>
          <w:tcPr>
            <w:tcW w:w="166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85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7278" w:rsidRPr="006233D3" w:rsidRDefault="00367278" w:rsidP="003E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7278" w:rsidRPr="006233D3" w:rsidTr="003E41EE">
        <w:trPr>
          <w:cantSplit/>
          <w:trHeight w:val="20"/>
          <w:jc w:val="center"/>
        </w:trPr>
        <w:tc>
          <w:tcPr>
            <w:tcW w:w="2006" w:type="dxa"/>
            <w:gridSpan w:val="2"/>
            <w:vMerge/>
            <w:shd w:val="clear" w:color="auto" w:fill="auto"/>
            <w:hideMark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Poboljšanje značaja obrazovnih sustava i sustava osposobljavanja za tržište rada, olakšavanje prijelaza iz škole na posao, jačanje sustava strukovnog obrazovanja i osposobljavanja te njihove kvalitete, između ostalog mehanizmima za predviđanje vještina, prilagodbom nastavnih planova i programa te uvođenjem i razvojem sustava učenja koji se temelje na radu, uključujući dualne sustave učenja i programe naukovanja</w:t>
            </w:r>
          </w:p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10.iv.1</w:t>
            </w:r>
          </w:p>
        </w:tc>
        <w:tc>
          <w:tcPr>
            <w:tcW w:w="3820" w:type="dxa"/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Modernizacija ponude strukovnog obrazovanja te podizanje njegove kvalitete u svrhu povećanja </w:t>
            </w:r>
            <w:proofErr w:type="spellStart"/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zapošljivosti</w:t>
            </w:r>
            <w:proofErr w:type="spellEnd"/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 učenika kao i mogućnosti za daljnje obrazovanje</w:t>
            </w:r>
          </w:p>
        </w:tc>
        <w:tc>
          <w:tcPr>
            <w:tcW w:w="1669" w:type="dxa"/>
            <w:shd w:val="clear" w:color="auto" w:fill="auto"/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znanosti, obrazovanja i sporta</w:t>
            </w:r>
          </w:p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turizma</w:t>
            </w:r>
          </w:p>
        </w:tc>
        <w:tc>
          <w:tcPr>
            <w:tcW w:w="1685" w:type="dxa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7278" w:rsidRPr="006233D3" w:rsidTr="003E41EE">
        <w:trPr>
          <w:cantSplit/>
          <w:trHeight w:val="738"/>
          <w:jc w:val="center"/>
        </w:trPr>
        <w:tc>
          <w:tcPr>
            <w:tcW w:w="20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4. Dobro upravljanje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Ulaganje u institucionalne kapacitete te u učinkovitost javnih uprava i javnih usluga na nacionalnoj, regionalnoj i lokalnoj razini s ciljem reformiranja, boljeg uređivanja i dobrog upravljanja</w:t>
            </w:r>
          </w:p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11.i.1</w:t>
            </w:r>
          </w:p>
        </w:tc>
        <w:tc>
          <w:tcPr>
            <w:tcW w:w="3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Povećanje djelotvornosti i kapaciteta u javnoj upravi kroz poboljšanje pružanja usluga i upravljanja ljudskim potencijalima</w:t>
            </w:r>
          </w:p>
        </w:tc>
        <w:tc>
          <w:tcPr>
            <w:tcW w:w="1669" w:type="dxa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rada i mirovinskoga sustava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367278" w:rsidRPr="006233D3" w:rsidRDefault="00C95780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Hrvatski zavod za zapošljavanje </w:t>
            </w:r>
          </w:p>
        </w:tc>
      </w:tr>
      <w:tr w:rsidR="00367278" w:rsidRPr="006233D3" w:rsidTr="003E41EE">
        <w:trPr>
          <w:cantSplit/>
          <w:trHeight w:val="765"/>
          <w:jc w:val="center"/>
        </w:trPr>
        <w:tc>
          <w:tcPr>
            <w:tcW w:w="20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11.i.2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Unapređenje kapaciteta i funkcioniranja pravosuđa kroz poboljšanje upravljanja i kompetencija</w:t>
            </w:r>
          </w:p>
        </w:tc>
        <w:tc>
          <w:tcPr>
            <w:tcW w:w="1669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8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7278" w:rsidRPr="006233D3" w:rsidTr="003E41EE">
        <w:trPr>
          <w:cantSplit/>
          <w:trHeight w:val="20"/>
          <w:jc w:val="center"/>
        </w:trPr>
        <w:tc>
          <w:tcPr>
            <w:tcW w:w="200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Izgradnja kapaciteta za sve dionike koji osiguravaju obrazovanje, </w:t>
            </w:r>
            <w:proofErr w:type="spellStart"/>
            <w:r w:rsidRPr="006233D3">
              <w:rPr>
                <w:rFonts w:ascii="Times New Roman" w:eastAsia="Times New Roman" w:hAnsi="Times New Roman" w:cs="Times New Roman"/>
                <w:bCs/>
                <w:lang w:eastAsia="hr-HR"/>
              </w:rPr>
              <w:t>cjeloživotno</w:t>
            </w:r>
            <w:proofErr w:type="spellEnd"/>
            <w:r w:rsidRPr="006233D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obrazovanje, osposobljavanje te zapošljavanje i socijalne politike, uključujući uz pomoć sektorskih i teritorijalnih paktova radi omogućavanja reformi na nacionalnoj, regionalnoj i lokalnoj razini</w:t>
            </w:r>
          </w:p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11.ii.1</w:t>
            </w:r>
          </w:p>
        </w:tc>
        <w:tc>
          <w:tcPr>
            <w:tcW w:w="3820" w:type="dxa"/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bCs/>
                <w:lang w:eastAsia="hr-HR"/>
              </w:rPr>
              <w:t>Razvijanje kapaciteta organizacija civilnog društva, osobito NVO-a i socijalnih partnera, te jačanje civilnog i socijalnog dijaloga radi boljeg upravljanja</w:t>
            </w:r>
          </w:p>
        </w:tc>
        <w:tc>
          <w:tcPr>
            <w:tcW w:w="1669" w:type="dxa"/>
            <w:shd w:val="clear" w:color="auto" w:fill="auto"/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rada i mirovinskoga sustava</w:t>
            </w:r>
          </w:p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67278" w:rsidRPr="006233D3" w:rsidRDefault="00367278" w:rsidP="001A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Ured </w:t>
            </w:r>
            <w:r w:rsidR="001A6D69"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za udruge </w:t>
            </w: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Vlade Republike Hrvatske  </w:t>
            </w:r>
          </w:p>
        </w:tc>
        <w:tc>
          <w:tcPr>
            <w:tcW w:w="1685" w:type="dxa"/>
            <w:shd w:val="clear" w:color="auto" w:fill="auto"/>
          </w:tcPr>
          <w:p w:rsidR="00C95780" w:rsidRPr="006233D3" w:rsidRDefault="00C95780" w:rsidP="00C9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Hrvatski zavod za zapošljavanje </w:t>
            </w:r>
          </w:p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Nacionalna zaklada za razvoj civilnoga društva</w:t>
            </w:r>
          </w:p>
        </w:tc>
      </w:tr>
      <w:tr w:rsidR="00367278" w:rsidRPr="006233D3" w:rsidTr="003E41EE">
        <w:trPr>
          <w:cantSplit/>
          <w:trHeight w:val="352"/>
          <w:jc w:val="center"/>
        </w:trPr>
        <w:tc>
          <w:tcPr>
            <w:tcW w:w="200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5. Tehnička pomoć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367278" w:rsidRPr="006233D3" w:rsidRDefault="002F3C0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bCs/>
                <w:lang w:eastAsia="hr-HR"/>
              </w:rPr>
              <w:t>Nije primjenjivo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Osiguranje učinkovite pripreme, upravljanja, provedbe, praćenja, vrednovanja i kontrole Operativnog programa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Ministarstvo rada i mirovinskoga sustava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C95780" w:rsidRPr="006233D3" w:rsidRDefault="00C95780" w:rsidP="00C9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 xml:space="preserve">Hrvatski zavod za zapošljavanje </w:t>
            </w:r>
          </w:p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367278" w:rsidRPr="006233D3" w:rsidTr="003E41EE">
        <w:trPr>
          <w:cantSplit/>
          <w:trHeight w:val="345"/>
          <w:jc w:val="center"/>
        </w:trPr>
        <w:tc>
          <w:tcPr>
            <w:tcW w:w="200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</w:tcBorders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Podrška potencijalnim korisnicima i regionalnim dionicima u uspješnom prijavljivanju i provedbi ESF projekata jačanjem njihovih kapaciteta i razvijanjem kvalitetne zalihe budućih projekata</w:t>
            </w:r>
          </w:p>
        </w:tc>
        <w:tc>
          <w:tcPr>
            <w:tcW w:w="1669" w:type="dxa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67278" w:rsidRPr="006233D3" w:rsidTr="003E41EE">
        <w:trPr>
          <w:cantSplit/>
          <w:trHeight w:val="285"/>
          <w:jc w:val="center"/>
        </w:trPr>
        <w:tc>
          <w:tcPr>
            <w:tcW w:w="200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367278" w:rsidRPr="006233D3" w:rsidRDefault="00367278" w:rsidP="002F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233D3">
              <w:rPr>
                <w:rFonts w:ascii="Times New Roman" w:eastAsia="Times New Roman" w:hAnsi="Times New Roman" w:cs="Times New Roman"/>
                <w:lang w:eastAsia="hr-HR"/>
              </w:rPr>
              <w:t>Podrška komunikacijskim aktivnostima u svrhu djelotvorne provedbe Komunikacijske strategije i osiguranje kvalitetnog informiranja potencijalnih korisnika i voditelja projekata o mogućnostima i uvjetima financiranja u okviru Operativnog programa</w:t>
            </w:r>
          </w:p>
        </w:tc>
        <w:tc>
          <w:tcPr>
            <w:tcW w:w="1669" w:type="dxa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367278" w:rsidRPr="006233D3" w:rsidRDefault="00367278" w:rsidP="003E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67278" w:rsidRPr="006233D3" w:rsidRDefault="00367278" w:rsidP="00367278"/>
    <w:p w:rsidR="00D27965" w:rsidRPr="006233D3" w:rsidRDefault="00D27965" w:rsidP="00AA6278">
      <w:pPr>
        <w:jc w:val="both"/>
        <w:rPr>
          <w:rFonts w:ascii="Times New Roman" w:hAnsi="Times New Roman" w:cs="Times New Roman"/>
        </w:rPr>
      </w:pPr>
    </w:p>
    <w:p w:rsidR="009851AF" w:rsidRPr="006233D3" w:rsidRDefault="009851AF" w:rsidP="00B241E6">
      <w:pPr>
        <w:spacing w:before="100" w:beforeAutospacing="1" w:after="100" w:afterAutospacing="1" w:line="240" w:lineRule="auto"/>
        <w:ind w:left="2832" w:firstLine="708"/>
        <w:rPr>
          <w:rFonts w:ascii="Times New Roman" w:hAnsi="Times New Roman" w:cs="Times New Roman"/>
        </w:rPr>
      </w:pPr>
    </w:p>
    <w:p w:rsidR="009851AF" w:rsidRPr="006233D3" w:rsidRDefault="009851AF" w:rsidP="00B241E6">
      <w:pPr>
        <w:spacing w:before="100" w:beforeAutospacing="1" w:after="100" w:afterAutospacing="1" w:line="240" w:lineRule="auto"/>
        <w:ind w:left="2832" w:firstLine="708"/>
        <w:rPr>
          <w:rFonts w:ascii="Times New Roman" w:hAnsi="Times New Roman" w:cs="Times New Roman"/>
        </w:rPr>
      </w:pPr>
    </w:p>
    <w:p w:rsidR="00194477" w:rsidRPr="006233D3" w:rsidRDefault="00194477" w:rsidP="00B241E6">
      <w:pPr>
        <w:spacing w:before="100" w:beforeAutospacing="1" w:after="100" w:afterAutospacing="1" w:line="240" w:lineRule="auto"/>
        <w:ind w:left="2832" w:firstLine="708"/>
        <w:rPr>
          <w:rFonts w:ascii="Times New Roman" w:hAnsi="Times New Roman" w:cs="Times New Roman"/>
        </w:rPr>
        <w:sectPr w:rsidR="00194477" w:rsidRPr="006233D3" w:rsidSect="000C24F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241E6" w:rsidRPr="006233D3" w:rsidRDefault="0070295E" w:rsidP="00B241E6">
      <w:pPr>
        <w:spacing w:before="100" w:beforeAutospacing="1" w:after="100" w:afterAutospacing="1" w:line="240" w:lineRule="auto"/>
        <w:ind w:left="2832" w:firstLine="708"/>
        <w:rPr>
          <w:rFonts w:ascii="Times New Roman" w:hAnsi="Times New Roman" w:cs="Times New Roman"/>
        </w:rPr>
      </w:pPr>
      <w:r w:rsidRPr="006233D3">
        <w:rPr>
          <w:rFonts w:ascii="Times New Roman" w:hAnsi="Times New Roman" w:cs="Times New Roman"/>
        </w:rPr>
        <w:lastRenderedPageBreak/>
        <w:t xml:space="preserve">       </w:t>
      </w:r>
      <w:r w:rsidR="00194477" w:rsidRPr="006233D3">
        <w:rPr>
          <w:rFonts w:ascii="Times New Roman" w:hAnsi="Times New Roman" w:cs="Times New Roman"/>
        </w:rPr>
        <w:t>Č</w:t>
      </w:r>
      <w:r w:rsidR="00E4300F">
        <w:rPr>
          <w:rFonts w:ascii="Times New Roman" w:hAnsi="Times New Roman" w:cs="Times New Roman"/>
        </w:rPr>
        <w:t>lanak 5</w:t>
      </w:r>
      <w:r w:rsidR="00B241E6" w:rsidRPr="006233D3">
        <w:rPr>
          <w:rFonts w:ascii="Times New Roman" w:hAnsi="Times New Roman" w:cs="Times New Roman"/>
        </w:rPr>
        <w:t>.</w:t>
      </w:r>
    </w:p>
    <w:p w:rsidR="00B241E6" w:rsidRPr="006233D3" w:rsidRDefault="00B241E6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233D3">
        <w:rPr>
          <w:rFonts w:ascii="Times New Roman" w:hAnsi="Times New Roman" w:cs="Times New Roman"/>
        </w:rPr>
        <w:t>Ova Uredba stupa na snag</w:t>
      </w:r>
      <w:r w:rsidR="001A6D69" w:rsidRPr="006233D3">
        <w:rPr>
          <w:rFonts w:ascii="Times New Roman" w:hAnsi="Times New Roman" w:cs="Times New Roman"/>
        </w:rPr>
        <w:t>u osmoga dana od dana objave u Narodnim novinama</w:t>
      </w:r>
      <w:r w:rsidRPr="006233D3">
        <w:rPr>
          <w:rFonts w:ascii="Times New Roman" w:hAnsi="Times New Roman" w:cs="Times New Roman"/>
        </w:rPr>
        <w:t>.</w:t>
      </w:r>
    </w:p>
    <w:p w:rsidR="00B241E6" w:rsidRPr="006233D3" w:rsidRDefault="00B241E6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233D3">
        <w:rPr>
          <w:rFonts w:ascii="Times New Roman" w:hAnsi="Times New Roman" w:cs="Times New Roman"/>
        </w:rPr>
        <w:t>Klasa:</w:t>
      </w:r>
    </w:p>
    <w:p w:rsidR="00B241E6" w:rsidRPr="006233D3" w:rsidRDefault="00B241E6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6233D3">
        <w:rPr>
          <w:rFonts w:ascii="Times New Roman" w:hAnsi="Times New Roman" w:cs="Times New Roman"/>
        </w:rPr>
        <w:t>Urbroj</w:t>
      </w:r>
      <w:proofErr w:type="spellEnd"/>
      <w:r w:rsidRPr="006233D3">
        <w:rPr>
          <w:rFonts w:ascii="Times New Roman" w:hAnsi="Times New Roman" w:cs="Times New Roman"/>
        </w:rPr>
        <w:t>:</w:t>
      </w:r>
    </w:p>
    <w:p w:rsidR="00B241E6" w:rsidRPr="006233D3" w:rsidRDefault="00B241E6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233D3">
        <w:rPr>
          <w:rFonts w:ascii="Times New Roman" w:hAnsi="Times New Roman" w:cs="Times New Roman"/>
        </w:rPr>
        <w:t>Zagreb,</w:t>
      </w:r>
    </w:p>
    <w:p w:rsidR="00B241E6" w:rsidRPr="006233D3" w:rsidRDefault="00B241E6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="00984638"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>Predsjednik</w:t>
      </w:r>
    </w:p>
    <w:p w:rsidR="00B241E6" w:rsidRPr="006233D3" w:rsidRDefault="00B241E6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Pr="006233D3">
        <w:rPr>
          <w:rFonts w:ascii="Times New Roman" w:hAnsi="Times New Roman" w:cs="Times New Roman"/>
        </w:rPr>
        <w:tab/>
      </w:r>
      <w:r w:rsidR="00984638" w:rsidRPr="006233D3">
        <w:rPr>
          <w:rFonts w:ascii="Times New Roman" w:hAnsi="Times New Roman" w:cs="Times New Roman"/>
        </w:rPr>
        <w:tab/>
      </w:r>
      <w:r w:rsidR="00984638" w:rsidRPr="006233D3">
        <w:rPr>
          <w:rFonts w:ascii="Times New Roman" w:hAnsi="Times New Roman" w:cs="Times New Roman"/>
          <w:b/>
        </w:rPr>
        <w:t xml:space="preserve">        </w:t>
      </w:r>
      <w:r w:rsidRPr="006233D3">
        <w:rPr>
          <w:rFonts w:ascii="Times New Roman" w:hAnsi="Times New Roman" w:cs="Times New Roman"/>
          <w:b/>
        </w:rPr>
        <w:t>Zoran Milanović</w:t>
      </w: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5283C" w:rsidRPr="006233D3" w:rsidRDefault="00D5283C" w:rsidP="00D52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3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KRATAK SAŽETAK SADRŽAJA</w:t>
      </w:r>
    </w:p>
    <w:p w:rsidR="00D5283C" w:rsidRPr="006233D3" w:rsidRDefault="00D5283C" w:rsidP="00D528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83C" w:rsidRPr="006233D3" w:rsidRDefault="00D5283C" w:rsidP="00D528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83C" w:rsidRPr="006233D3" w:rsidRDefault="00D5283C" w:rsidP="00D52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3D3">
        <w:rPr>
          <w:rFonts w:ascii="Times New Roman" w:eastAsia="Calibri" w:hAnsi="Times New Roman" w:cs="Times New Roman"/>
          <w:sz w:val="24"/>
          <w:szCs w:val="24"/>
        </w:rPr>
        <w:t>Osnova za donošenje ove Uredbe sadržana je u članku 7. stavku 1. podstavku 1. Zakona o uspostavi institucionalnog okvira za provedbu europskih strukturnih i investicijskih fondova u Republici Hrvatskoj u financijskom razdoblju 2014. - 2020. (Narodne novine, broj 92/2014 od 28. srpnja 2014., u daljnjem tekstu: Zakon), koji je stupio na snagu 5. kolovoza 2014.</w:t>
      </w:r>
    </w:p>
    <w:p w:rsidR="00D5283C" w:rsidRPr="006233D3" w:rsidRDefault="00D5283C" w:rsidP="00D52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83C" w:rsidRPr="006233D3" w:rsidRDefault="00D5283C" w:rsidP="00D52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3D3">
        <w:rPr>
          <w:rFonts w:ascii="Times New Roman" w:eastAsia="Calibri" w:hAnsi="Times New Roman" w:cs="Times New Roman"/>
          <w:sz w:val="24"/>
          <w:szCs w:val="24"/>
        </w:rPr>
        <w:t>Opća pravila korištenja europskih strukturnih i investicijskih fondova (u daljnjem tekstu: ESI fondovi) propisana su Uredbom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 od 11. srpnja 2006. (u daljnjem tekstu Uredba (EU) br. 1303/2013).</w:t>
      </w:r>
    </w:p>
    <w:p w:rsidR="00D5283C" w:rsidRPr="006233D3" w:rsidRDefault="00D5283C" w:rsidP="00D5283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D5283C" w:rsidRPr="006233D3" w:rsidRDefault="00D5283C" w:rsidP="00D52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3D3">
        <w:rPr>
          <w:rFonts w:ascii="Times New Roman" w:eastAsia="Calibri" w:hAnsi="Times New Roman" w:cs="Times New Roman"/>
          <w:sz w:val="24"/>
          <w:szCs w:val="24"/>
        </w:rPr>
        <w:t xml:space="preserve">Zakonom se, u cilju osiguravanja provedbe Uredbe (EU) br. 1303/2013, uspostavlja institucionalni okvir za korištenje ESI fondova, kao osnovni preduvjet za korištenje alokacija dodijeljenih Republici Hrvatskoj u financijskom razdoblju 2014. </w:t>
      </w:r>
      <w:r w:rsidR="00243932" w:rsidRPr="006233D3">
        <w:rPr>
          <w:rFonts w:ascii="Times New Roman" w:eastAsia="Calibri" w:hAnsi="Times New Roman" w:cs="Times New Roman"/>
          <w:sz w:val="24"/>
          <w:szCs w:val="24"/>
        </w:rPr>
        <w:t>–</w:t>
      </w:r>
      <w:r w:rsidRPr="006233D3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243932" w:rsidRPr="006233D3">
        <w:rPr>
          <w:rFonts w:ascii="Times New Roman" w:eastAsia="Calibri" w:hAnsi="Times New Roman" w:cs="Times New Roman"/>
          <w:sz w:val="24"/>
          <w:szCs w:val="24"/>
        </w:rPr>
        <w:t xml:space="preserve">, dok se </w:t>
      </w:r>
      <w:r w:rsidR="00243932" w:rsidRPr="006233D3">
        <w:rPr>
          <w:rFonts w:ascii="Times New Roman" w:hAnsi="Times New Roman" w:cs="Times New Roman"/>
          <w:sz w:val="24"/>
          <w:szCs w:val="24"/>
        </w:rPr>
        <w:t>Uredbom o tijelima u Sustavima upravljanja i kontrole korištenja Europskog socijalnog fonda, Europskog fonda za regionalni razvoj i Kohezijskog fonda, u vezi s ciljem „Ula</w:t>
      </w:r>
      <w:r w:rsidR="007E62F5" w:rsidRPr="006233D3">
        <w:rPr>
          <w:rFonts w:ascii="Times New Roman" w:hAnsi="Times New Roman" w:cs="Times New Roman"/>
          <w:sz w:val="24"/>
          <w:szCs w:val="24"/>
        </w:rPr>
        <w:t>ganje za rast i radna mjesta“ (Narodne novine</w:t>
      </w:r>
      <w:r w:rsidR="00243932" w:rsidRPr="006233D3">
        <w:rPr>
          <w:rFonts w:ascii="Times New Roman" w:hAnsi="Times New Roman" w:cs="Times New Roman"/>
          <w:sz w:val="24"/>
          <w:szCs w:val="24"/>
        </w:rPr>
        <w:t xml:space="preserve">, broj 107/2014, u daljnjem tekstu: Uredba) </w:t>
      </w:r>
      <w:r w:rsidR="00243932" w:rsidRPr="006233D3">
        <w:rPr>
          <w:rFonts w:ascii="Times New Roman" w:eastAsia="Calibri" w:hAnsi="Times New Roman" w:cs="Times New Roman"/>
          <w:sz w:val="24"/>
          <w:szCs w:val="24"/>
        </w:rPr>
        <w:t>razrađuju</w:t>
      </w:r>
      <w:r w:rsidRPr="006233D3">
        <w:rPr>
          <w:rFonts w:ascii="Times New Roman" w:eastAsia="Calibri" w:hAnsi="Times New Roman" w:cs="Times New Roman"/>
          <w:sz w:val="24"/>
          <w:szCs w:val="24"/>
        </w:rPr>
        <w:t xml:space="preserve"> dužnosti pojedinih tijela u okviru pojedinog Sustava upravljanja i kontrole</w:t>
      </w:r>
      <w:r w:rsidR="001A6D69" w:rsidRPr="006233D3">
        <w:rPr>
          <w:rFonts w:ascii="Times New Roman" w:eastAsia="Calibri" w:hAnsi="Times New Roman" w:cs="Times New Roman"/>
          <w:sz w:val="24"/>
          <w:szCs w:val="24"/>
        </w:rPr>
        <w:t xml:space="preserve"> (u daljnjem tekstu</w:t>
      </w:r>
      <w:r w:rsidR="00546769" w:rsidRPr="006233D3">
        <w:rPr>
          <w:rFonts w:ascii="Times New Roman" w:eastAsia="Calibri" w:hAnsi="Times New Roman" w:cs="Times New Roman"/>
          <w:sz w:val="24"/>
          <w:szCs w:val="24"/>
        </w:rPr>
        <w:t>: Sustav)</w:t>
      </w:r>
      <w:r w:rsidRPr="006233D3">
        <w:rPr>
          <w:rFonts w:ascii="Times New Roman" w:eastAsia="Calibri" w:hAnsi="Times New Roman" w:cs="Times New Roman"/>
          <w:sz w:val="24"/>
          <w:szCs w:val="24"/>
        </w:rPr>
        <w:t xml:space="preserve">, ovisno o specifičnostima </w:t>
      </w:r>
      <w:r w:rsidR="00243932" w:rsidRPr="006233D3">
        <w:rPr>
          <w:rFonts w:ascii="Times New Roman" w:eastAsia="Calibri" w:hAnsi="Times New Roman" w:cs="Times New Roman"/>
          <w:sz w:val="24"/>
          <w:szCs w:val="24"/>
        </w:rPr>
        <w:t>Operativnog programa „Konkurentnost i kohezija“ i Operativnog programa „Učinkoviti ljudski potencijali“</w:t>
      </w:r>
      <w:r w:rsidRPr="006233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283C" w:rsidRPr="006233D3" w:rsidRDefault="00D5283C" w:rsidP="00D52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932" w:rsidRPr="006233D3" w:rsidRDefault="001A6D69" w:rsidP="00D52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3D3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243932" w:rsidRPr="006233D3">
        <w:rPr>
          <w:rFonts w:ascii="Times New Roman" w:eastAsia="Calibri" w:hAnsi="Times New Roman" w:cs="Times New Roman"/>
          <w:sz w:val="24"/>
          <w:szCs w:val="24"/>
        </w:rPr>
        <w:t>,</w:t>
      </w:r>
      <w:r w:rsidR="00D5283C" w:rsidRPr="006233D3">
        <w:rPr>
          <w:rFonts w:ascii="Times New Roman" w:eastAsia="Calibri" w:hAnsi="Times New Roman" w:cs="Times New Roman"/>
          <w:sz w:val="24"/>
          <w:szCs w:val="24"/>
        </w:rPr>
        <w:t xml:space="preserve"> Uredbom</w:t>
      </w:r>
      <w:r w:rsidR="00243932" w:rsidRPr="006233D3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D5283C" w:rsidRPr="006233D3">
        <w:rPr>
          <w:rFonts w:ascii="Times New Roman" w:eastAsia="Calibri" w:hAnsi="Times New Roman" w:cs="Times New Roman"/>
          <w:sz w:val="24"/>
          <w:szCs w:val="24"/>
        </w:rPr>
        <w:t xml:space="preserve"> utvrđuju institucije koje imaju ulogu tijela u Sustavima korištenja Europskog socijalnog fonda, Europskog fonda za regionalni razvoj i Kohezijskog fonda, vezano uz cilj „Ulaganje za rast i radna mjesta“, navedene u članku 5. p</w:t>
      </w:r>
      <w:r w:rsidR="00243932" w:rsidRPr="006233D3">
        <w:rPr>
          <w:rFonts w:ascii="Times New Roman" w:eastAsia="Calibri" w:hAnsi="Times New Roman" w:cs="Times New Roman"/>
          <w:sz w:val="24"/>
          <w:szCs w:val="24"/>
        </w:rPr>
        <w:t xml:space="preserve">odstavcima 2. i 3. Zakona te se, između ostaloga, </w:t>
      </w:r>
      <w:r w:rsidR="00D5283C" w:rsidRPr="006233D3">
        <w:rPr>
          <w:rFonts w:ascii="Times New Roman" w:eastAsia="Calibri" w:hAnsi="Times New Roman" w:cs="Times New Roman"/>
          <w:sz w:val="24"/>
          <w:szCs w:val="24"/>
        </w:rPr>
        <w:t xml:space="preserve">dodatno razrađuju funkcije, zadaće i odgovornosti Posredničkog tijela razine 1 i Posredničkog tijela razine 2. </w:t>
      </w:r>
    </w:p>
    <w:p w:rsidR="00243932" w:rsidRPr="006233D3" w:rsidRDefault="00243932" w:rsidP="00D52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769" w:rsidRPr="006233D3" w:rsidRDefault="00243932" w:rsidP="002439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>Naime, u svrhu ostvarivanja optimalnog učinka i organizacije rada tijela u Sustavima, nakon dodatne procjene njihovih mogućnosti za ostvarivanje takva učinka, ponajprije razmatrajući administrativne kapacitete kojima raspolažu te već postojeća iskustva i</w:t>
      </w:r>
      <w:r w:rsidR="00546769"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>znanja povezana s</w:t>
      </w:r>
      <w:r w:rsidR="001A6D69"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specifičnom tematikom provedbe fondova Europske unije, neophodno je predložiti izmjene Uredbe.</w:t>
      </w:r>
    </w:p>
    <w:p w:rsidR="00546769" w:rsidRPr="006233D3" w:rsidRDefault="00546769" w:rsidP="002439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61E" w:rsidRDefault="00546769" w:rsidP="002439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54705A"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Prilogu Uredbi - </w:t>
      </w:r>
      <w:r w:rsidR="0054705A" w:rsidRPr="006233D3">
        <w:rPr>
          <w:rFonts w:ascii="Times New Roman" w:hAnsi="Times New Roman" w:cs="Times New Roman"/>
          <w:sz w:val="24"/>
          <w:szCs w:val="24"/>
        </w:rPr>
        <w:t>Prikazu Posredničkih tijela nadležnih za provedbu izabranih investicijskih prioriteta, Prikazu 1 i Prikazu 2</w:t>
      </w:r>
      <w:r w:rsidR="0054705A">
        <w:rPr>
          <w:rFonts w:ascii="Times New Roman" w:hAnsi="Times New Roman" w:cs="Times New Roman"/>
          <w:sz w:val="24"/>
          <w:szCs w:val="24"/>
        </w:rPr>
        <w:t xml:space="preserve">, </w:t>
      </w:r>
      <w:r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Hrvatska regulatorna agencija za mrežne djelatnosti </w:t>
      </w:r>
      <w:r w:rsidR="00F3261E">
        <w:rPr>
          <w:rFonts w:ascii="Times New Roman" w:eastAsia="Times New Roman" w:hAnsi="Times New Roman" w:cs="Times New Roman"/>
          <w:sz w:val="24"/>
          <w:szCs w:val="24"/>
          <w:lang w:eastAsia="hr-HR"/>
        </w:rPr>
        <w:t>više nije tijelo</w:t>
      </w:r>
      <w:r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Sustavu </w:t>
      </w:r>
      <w:r w:rsidR="0054705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F76A3A"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>perativnog programa</w:t>
      </w:r>
      <w:r w:rsidR="005470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705A" w:rsidRPr="006233D3">
        <w:rPr>
          <w:rFonts w:ascii="Times New Roman" w:eastAsia="Calibri" w:hAnsi="Times New Roman" w:cs="Times New Roman"/>
          <w:sz w:val="24"/>
          <w:szCs w:val="24"/>
        </w:rPr>
        <w:t>„Konkurentnost i kohezija“</w:t>
      </w:r>
      <w:r w:rsidR="00F76A3A"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3261E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Ministarstvo poduzetništva i</w:t>
      </w:r>
      <w:r w:rsidR="005470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obrta te </w:t>
      </w:r>
      <w:r w:rsidR="00F3261E" w:rsidRPr="00F3261E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agencija za malo gospodarstvo, inovacije i investicije</w:t>
      </w:r>
      <w:r w:rsidR="00F3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predstavljaju više tijela unutar Sustava Operativnog programa „Učinkoviti ljudski potencijali“</w:t>
      </w:r>
      <w:r w:rsidR="00D76E0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3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koji je pak, predloženim izmjenama Uredbe, uvršteno Ministarstvo kulture.</w:t>
      </w:r>
    </w:p>
    <w:p w:rsidR="00F3261E" w:rsidRPr="006233D3" w:rsidRDefault="00F3261E" w:rsidP="00F326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932" w:rsidRPr="006233D3" w:rsidRDefault="00546769" w:rsidP="002439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Također, u svrhu pružanja detaljnijeg opisa te boljeg razumijevanja, pojedini </w:t>
      </w:r>
      <w:r w:rsidR="0068461B"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investicijski prioriteti</w:t>
      </w:r>
      <w:r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navedeni u </w:t>
      </w:r>
      <w:r w:rsidR="005470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spomenutom </w:t>
      </w:r>
      <w:r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Prilogu Uredbi</w:t>
      </w:r>
      <w:r w:rsidRPr="006233D3">
        <w:rPr>
          <w:rFonts w:ascii="Times New Roman" w:hAnsi="Times New Roman" w:cs="Times New Roman"/>
          <w:sz w:val="24"/>
          <w:szCs w:val="24"/>
        </w:rPr>
        <w:t xml:space="preserve">, pobliže su razrađeni </w:t>
      </w:r>
      <w:r w:rsidR="00F76A3A" w:rsidRPr="006233D3">
        <w:rPr>
          <w:rFonts w:ascii="Times New Roman" w:hAnsi="Times New Roman" w:cs="Times New Roman"/>
          <w:sz w:val="24"/>
          <w:szCs w:val="24"/>
        </w:rPr>
        <w:t>dodavanjem naziva s</w:t>
      </w:r>
      <w:r w:rsidR="007F60F6" w:rsidRPr="006233D3">
        <w:rPr>
          <w:rFonts w:ascii="Times New Roman" w:hAnsi="Times New Roman" w:cs="Times New Roman"/>
          <w:sz w:val="24"/>
          <w:szCs w:val="24"/>
        </w:rPr>
        <w:t>pecifičnih ciljeva od kojih se sastoje te uvođenjem oznake specifičnog cilja (OSC), stvarajući na opisani način poveznicu s o</w:t>
      </w:r>
      <w:r w:rsidR="001759FE" w:rsidRPr="006233D3">
        <w:rPr>
          <w:rFonts w:ascii="Times New Roman" w:hAnsi="Times New Roman" w:cs="Times New Roman"/>
          <w:sz w:val="24"/>
          <w:szCs w:val="24"/>
        </w:rPr>
        <w:t>d</w:t>
      </w:r>
      <w:r w:rsidR="007F60F6" w:rsidRPr="006233D3">
        <w:rPr>
          <w:rFonts w:ascii="Times New Roman" w:hAnsi="Times New Roman" w:cs="Times New Roman"/>
          <w:sz w:val="24"/>
          <w:szCs w:val="24"/>
        </w:rPr>
        <w:t>govarajućim operativnim programom.</w:t>
      </w:r>
    </w:p>
    <w:p w:rsidR="00243932" w:rsidRPr="006233D3" w:rsidRDefault="00243932" w:rsidP="00243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Također, predloženim izmjenama tekst Uredbe se u cijelosti, s</w:t>
      </w:r>
      <w:r w:rsidR="001759FE"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adržajno i </w:t>
      </w:r>
      <w:r w:rsidR="007F60F6"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pogledu izričaja </w:t>
      </w:r>
      <w:r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usklađuje s usvojenim Operativnim programom „Konkurentnost i kohezija</w:t>
      </w:r>
      <w:r w:rsidR="0068461B"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F76A3A"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233D3">
        <w:rPr>
          <w:rFonts w:ascii="Times New Roman" w:eastAsia="Times New Roman" w:hAnsi="Times New Roman" w:cs="Times New Roman"/>
          <w:sz w:val="24"/>
          <w:szCs w:val="24"/>
          <w:lang w:eastAsia="hr-HR"/>
        </w:rPr>
        <w:t>i Operativnim programom „Učinkoviti ljudski potencijali“.</w:t>
      </w:r>
    </w:p>
    <w:p w:rsidR="00D5283C" w:rsidRPr="006233D3" w:rsidRDefault="00D5283C" w:rsidP="00D52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83C" w:rsidRPr="006233D3" w:rsidRDefault="00D5283C" w:rsidP="00D528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83C" w:rsidRPr="006233D3" w:rsidRDefault="00D5283C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E05" w:rsidRPr="006233D3" w:rsidRDefault="00CC0E05" w:rsidP="00B241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61E" w:rsidRDefault="00F3261E" w:rsidP="00CC0E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261E" w:rsidSect="001944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9E" w:rsidRDefault="00A9689E" w:rsidP="00933B62">
      <w:pPr>
        <w:spacing w:after="0" w:line="240" w:lineRule="auto"/>
      </w:pPr>
      <w:r>
        <w:separator/>
      </w:r>
    </w:p>
  </w:endnote>
  <w:endnote w:type="continuationSeparator" w:id="0">
    <w:p w:rsidR="00A9689E" w:rsidRDefault="00A9689E" w:rsidP="0093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9E" w:rsidRDefault="00A9689E" w:rsidP="00933B62">
      <w:pPr>
        <w:spacing w:after="0" w:line="240" w:lineRule="auto"/>
      </w:pPr>
      <w:r>
        <w:separator/>
      </w:r>
    </w:p>
  </w:footnote>
  <w:footnote w:type="continuationSeparator" w:id="0">
    <w:p w:rsidR="00A9689E" w:rsidRDefault="00A9689E" w:rsidP="00933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78"/>
    <w:rsid w:val="000142A3"/>
    <w:rsid w:val="000224BB"/>
    <w:rsid w:val="00025261"/>
    <w:rsid w:val="00030261"/>
    <w:rsid w:val="00081CF5"/>
    <w:rsid w:val="000866DD"/>
    <w:rsid w:val="000B5F3B"/>
    <w:rsid w:val="000C24F2"/>
    <w:rsid w:val="000F17DA"/>
    <w:rsid w:val="00153E68"/>
    <w:rsid w:val="00173565"/>
    <w:rsid w:val="0017552E"/>
    <w:rsid w:val="001759FE"/>
    <w:rsid w:val="00185EA2"/>
    <w:rsid w:val="00194477"/>
    <w:rsid w:val="001A18FB"/>
    <w:rsid w:val="001A6D69"/>
    <w:rsid w:val="001B29A7"/>
    <w:rsid w:val="001D744E"/>
    <w:rsid w:val="002012C6"/>
    <w:rsid w:val="00243932"/>
    <w:rsid w:val="0026701C"/>
    <w:rsid w:val="0028521B"/>
    <w:rsid w:val="002F3C08"/>
    <w:rsid w:val="003403BB"/>
    <w:rsid w:val="00367278"/>
    <w:rsid w:val="003B33A5"/>
    <w:rsid w:val="003C6026"/>
    <w:rsid w:val="003D078D"/>
    <w:rsid w:val="003D6B4E"/>
    <w:rsid w:val="003E41EE"/>
    <w:rsid w:val="004038BF"/>
    <w:rsid w:val="004208F3"/>
    <w:rsid w:val="00455444"/>
    <w:rsid w:val="00493C32"/>
    <w:rsid w:val="004C7940"/>
    <w:rsid w:val="005129B4"/>
    <w:rsid w:val="00540942"/>
    <w:rsid w:val="00541381"/>
    <w:rsid w:val="00546769"/>
    <w:rsid w:val="0054705A"/>
    <w:rsid w:val="005C2022"/>
    <w:rsid w:val="006233D3"/>
    <w:rsid w:val="0063776C"/>
    <w:rsid w:val="00650820"/>
    <w:rsid w:val="0068461B"/>
    <w:rsid w:val="00687541"/>
    <w:rsid w:val="006F609B"/>
    <w:rsid w:val="0070295E"/>
    <w:rsid w:val="00716F90"/>
    <w:rsid w:val="0072010F"/>
    <w:rsid w:val="00737298"/>
    <w:rsid w:val="007B7BEE"/>
    <w:rsid w:val="007E49AF"/>
    <w:rsid w:val="007E62F5"/>
    <w:rsid w:val="007F60F6"/>
    <w:rsid w:val="00804030"/>
    <w:rsid w:val="00842CD4"/>
    <w:rsid w:val="008A7922"/>
    <w:rsid w:val="008F6E85"/>
    <w:rsid w:val="008F749E"/>
    <w:rsid w:val="0092168E"/>
    <w:rsid w:val="00933B62"/>
    <w:rsid w:val="009504DE"/>
    <w:rsid w:val="00984638"/>
    <w:rsid w:val="009851AF"/>
    <w:rsid w:val="009E4DE3"/>
    <w:rsid w:val="00A44AF9"/>
    <w:rsid w:val="00A9689E"/>
    <w:rsid w:val="00AA6278"/>
    <w:rsid w:val="00B241E6"/>
    <w:rsid w:val="00B81B5D"/>
    <w:rsid w:val="00BA30CE"/>
    <w:rsid w:val="00C0361D"/>
    <w:rsid w:val="00C361C1"/>
    <w:rsid w:val="00C6417A"/>
    <w:rsid w:val="00C8201E"/>
    <w:rsid w:val="00C95780"/>
    <w:rsid w:val="00CA3A9D"/>
    <w:rsid w:val="00CC0E05"/>
    <w:rsid w:val="00D27965"/>
    <w:rsid w:val="00D42E88"/>
    <w:rsid w:val="00D5283C"/>
    <w:rsid w:val="00D76E06"/>
    <w:rsid w:val="00DA627B"/>
    <w:rsid w:val="00DB4D58"/>
    <w:rsid w:val="00DD0C90"/>
    <w:rsid w:val="00DE68DE"/>
    <w:rsid w:val="00E17FF1"/>
    <w:rsid w:val="00E2270E"/>
    <w:rsid w:val="00E4300F"/>
    <w:rsid w:val="00E76FAB"/>
    <w:rsid w:val="00E8077B"/>
    <w:rsid w:val="00E93FE1"/>
    <w:rsid w:val="00EC3267"/>
    <w:rsid w:val="00EC3911"/>
    <w:rsid w:val="00EF3E58"/>
    <w:rsid w:val="00F00BC2"/>
    <w:rsid w:val="00F3261E"/>
    <w:rsid w:val="00F5080B"/>
    <w:rsid w:val="00F73D0F"/>
    <w:rsid w:val="00F7447B"/>
    <w:rsid w:val="00F76A3A"/>
    <w:rsid w:val="00F8008A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3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33B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933B62"/>
    <w:rPr>
      <w:vertAlign w:val="superscript"/>
    </w:rPr>
  </w:style>
  <w:style w:type="table" w:customStyle="1" w:styleId="TableGrid4">
    <w:name w:val="Table Grid4"/>
    <w:basedOn w:val="TableNormal"/>
    <w:next w:val="TableGrid"/>
    <w:uiPriority w:val="59"/>
    <w:rsid w:val="0093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3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1B"/>
    <w:rPr>
      <w:rFonts w:ascii="Tahoma" w:hAnsi="Tahoma" w:cs="Tahoma"/>
      <w:sz w:val="16"/>
      <w:szCs w:val="16"/>
    </w:rPr>
  </w:style>
  <w:style w:type="character" w:customStyle="1" w:styleId="Bodytext313pt">
    <w:name w:val="Body text (3) + 13 pt"/>
    <w:basedOn w:val="DefaultParagraphFont"/>
    <w:rsid w:val="008A792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Bodytext13ptNotBold">
    <w:name w:val="Body text + 13 pt;Not Bold"/>
    <w:basedOn w:val="DefaultParagraphFont"/>
    <w:rsid w:val="008A792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F2"/>
  </w:style>
  <w:style w:type="paragraph" w:styleId="Footer">
    <w:name w:val="footer"/>
    <w:basedOn w:val="Normal"/>
    <w:link w:val="FooterChar"/>
    <w:uiPriority w:val="99"/>
    <w:unhideWhenUsed/>
    <w:rsid w:val="000C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3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33B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933B62"/>
    <w:rPr>
      <w:vertAlign w:val="superscript"/>
    </w:rPr>
  </w:style>
  <w:style w:type="table" w:customStyle="1" w:styleId="TableGrid4">
    <w:name w:val="Table Grid4"/>
    <w:basedOn w:val="TableNormal"/>
    <w:next w:val="TableGrid"/>
    <w:uiPriority w:val="59"/>
    <w:rsid w:val="0093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3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1B"/>
    <w:rPr>
      <w:rFonts w:ascii="Tahoma" w:hAnsi="Tahoma" w:cs="Tahoma"/>
      <w:sz w:val="16"/>
      <w:szCs w:val="16"/>
    </w:rPr>
  </w:style>
  <w:style w:type="character" w:customStyle="1" w:styleId="Bodytext313pt">
    <w:name w:val="Body text (3) + 13 pt"/>
    <w:basedOn w:val="DefaultParagraphFont"/>
    <w:rsid w:val="008A792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Bodytext13ptNotBold">
    <w:name w:val="Body text + 13 pt;Not Bold"/>
    <w:basedOn w:val="DefaultParagraphFont"/>
    <w:rsid w:val="008A792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F2"/>
  </w:style>
  <w:style w:type="paragraph" w:styleId="Footer">
    <w:name w:val="footer"/>
    <w:basedOn w:val="Normal"/>
    <w:link w:val="FooterChar"/>
    <w:uiPriority w:val="99"/>
    <w:unhideWhenUsed/>
    <w:rsid w:val="000C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4104-C5C6-4F05-8DFD-2331B944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21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Balentović</dc:creator>
  <cp:lastModifiedBy>Marina Balentović</cp:lastModifiedBy>
  <cp:revision>9</cp:revision>
  <cp:lastPrinted>2015-01-30T15:25:00Z</cp:lastPrinted>
  <dcterms:created xsi:type="dcterms:W3CDTF">2015-01-30T08:16:00Z</dcterms:created>
  <dcterms:modified xsi:type="dcterms:W3CDTF">2015-01-30T15:26:00Z</dcterms:modified>
</cp:coreProperties>
</file>